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3D1B6" w14:textId="32314663" w:rsidR="00360183" w:rsidRDefault="00360183" w:rsidP="00360183">
      <w:pPr>
        <w:spacing w:before="120" w:after="120" w:line="360" w:lineRule="auto"/>
        <w:jc w:val="center"/>
        <w:rPr>
          <w:rFonts w:ascii="Arial" w:hAnsi="Arial" w:cs="Arial"/>
          <w:b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7660A66" wp14:editId="590380A1">
            <wp:extent cx="680085" cy="892810"/>
            <wp:effectExtent l="0" t="0" r="5715" b="2540"/>
            <wp:docPr id="1863381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381010" name="Picture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42A24" w14:textId="4771C588" w:rsidR="00B823C0" w:rsidRPr="00805DCA" w:rsidRDefault="00B823C0" w:rsidP="00085A01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805DCA">
        <w:rPr>
          <w:rFonts w:ascii="Arial" w:hAnsi="Arial" w:cs="Arial"/>
          <w:bCs/>
          <w:color w:val="000000" w:themeColor="text1"/>
          <w:sz w:val="28"/>
          <w:szCs w:val="28"/>
        </w:rPr>
        <w:t>09</w:t>
      </w:r>
      <w:r w:rsidRPr="00805DCA">
        <w:rPr>
          <w:rFonts w:ascii="Arial" w:hAnsi="Arial" w:cs="Arial"/>
          <w:bCs/>
          <w:color w:val="000000" w:themeColor="text1"/>
          <w:sz w:val="28"/>
          <w:szCs w:val="28"/>
        </w:rPr>
        <w:tab/>
      </w:r>
      <w:r w:rsidR="0073188A" w:rsidRPr="00805DCA">
        <w:rPr>
          <w:rFonts w:ascii="Arial" w:hAnsi="Arial" w:cs="Arial"/>
          <w:bCs/>
          <w:color w:val="000000" w:themeColor="text1"/>
          <w:sz w:val="28"/>
          <w:szCs w:val="28"/>
        </w:rPr>
        <w:t>Early years</w:t>
      </w:r>
      <w:r w:rsidRPr="00805DCA">
        <w:rPr>
          <w:rFonts w:ascii="Arial" w:hAnsi="Arial" w:cs="Arial"/>
          <w:bCs/>
          <w:color w:val="000000" w:themeColor="text1"/>
          <w:sz w:val="28"/>
          <w:szCs w:val="28"/>
        </w:rPr>
        <w:t xml:space="preserve"> practice procedures</w:t>
      </w:r>
    </w:p>
    <w:p w14:paraId="66204FF1" w14:textId="19CF588F" w:rsidR="004B7E3E" w:rsidRPr="00805DCA" w:rsidRDefault="00EE62C7" w:rsidP="00085A01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805DCA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DE12A0" w:rsidRPr="00805DCA">
        <w:rPr>
          <w:rFonts w:ascii="Arial" w:hAnsi="Arial" w:cs="Arial"/>
          <w:b/>
          <w:color w:val="000000" w:themeColor="text1"/>
          <w:sz w:val="28"/>
          <w:szCs w:val="28"/>
        </w:rPr>
        <w:t>9.</w:t>
      </w:r>
      <w:r w:rsidR="007771A9" w:rsidRPr="00805DCA">
        <w:rPr>
          <w:rFonts w:ascii="Arial" w:hAnsi="Arial" w:cs="Arial"/>
          <w:b/>
          <w:color w:val="000000" w:themeColor="text1"/>
          <w:sz w:val="28"/>
          <w:szCs w:val="28"/>
        </w:rPr>
        <w:t>5</w:t>
      </w:r>
      <w:r w:rsidR="004B7E3E" w:rsidRPr="00805DCA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D842B0" w:rsidRPr="00805DCA">
        <w:rPr>
          <w:rFonts w:ascii="Arial" w:hAnsi="Arial" w:cs="Arial"/>
          <w:b/>
          <w:color w:val="000000" w:themeColor="text1"/>
          <w:sz w:val="28"/>
          <w:szCs w:val="28"/>
        </w:rPr>
        <w:t xml:space="preserve">Establishing </w:t>
      </w:r>
      <w:r w:rsidR="00AC70E5" w:rsidRPr="00805DCA">
        <w:rPr>
          <w:rFonts w:ascii="Arial" w:hAnsi="Arial" w:cs="Arial"/>
          <w:b/>
          <w:color w:val="000000" w:themeColor="text1"/>
          <w:sz w:val="28"/>
          <w:szCs w:val="28"/>
        </w:rPr>
        <w:t>c</w:t>
      </w:r>
      <w:r w:rsidR="00D842B0" w:rsidRPr="00805DCA">
        <w:rPr>
          <w:rFonts w:ascii="Arial" w:hAnsi="Arial" w:cs="Arial"/>
          <w:b/>
          <w:color w:val="000000" w:themeColor="text1"/>
          <w:sz w:val="28"/>
          <w:szCs w:val="28"/>
        </w:rPr>
        <w:t>hildren</w:t>
      </w:r>
      <w:r w:rsidR="00880801" w:rsidRPr="00805DCA">
        <w:rPr>
          <w:rFonts w:ascii="Arial" w:hAnsi="Arial" w:cs="Arial"/>
          <w:b/>
          <w:color w:val="000000" w:themeColor="text1"/>
          <w:sz w:val="28"/>
          <w:szCs w:val="28"/>
        </w:rPr>
        <w:t>’s</w:t>
      </w:r>
      <w:r w:rsidR="00D842B0" w:rsidRPr="00805DCA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AC70E5" w:rsidRPr="00805DCA">
        <w:rPr>
          <w:rFonts w:ascii="Arial" w:hAnsi="Arial" w:cs="Arial"/>
          <w:b/>
          <w:color w:val="000000" w:themeColor="text1"/>
          <w:sz w:val="28"/>
          <w:szCs w:val="28"/>
        </w:rPr>
        <w:t>s</w:t>
      </w:r>
      <w:r w:rsidR="00D842B0" w:rsidRPr="00805DCA">
        <w:rPr>
          <w:rFonts w:ascii="Arial" w:hAnsi="Arial" w:cs="Arial"/>
          <w:b/>
          <w:color w:val="000000" w:themeColor="text1"/>
          <w:sz w:val="28"/>
          <w:szCs w:val="28"/>
        </w:rPr>
        <w:t xml:space="preserve">tarting </w:t>
      </w:r>
      <w:r w:rsidR="00AC70E5" w:rsidRPr="00805DCA">
        <w:rPr>
          <w:rFonts w:ascii="Arial" w:hAnsi="Arial" w:cs="Arial"/>
          <w:b/>
          <w:color w:val="000000" w:themeColor="text1"/>
          <w:sz w:val="28"/>
          <w:szCs w:val="28"/>
        </w:rPr>
        <w:t>p</w:t>
      </w:r>
      <w:r w:rsidR="00D842B0" w:rsidRPr="00805DCA">
        <w:rPr>
          <w:rFonts w:ascii="Arial" w:hAnsi="Arial" w:cs="Arial"/>
          <w:b/>
          <w:color w:val="000000" w:themeColor="text1"/>
          <w:sz w:val="28"/>
          <w:szCs w:val="28"/>
        </w:rPr>
        <w:t>oints</w:t>
      </w:r>
    </w:p>
    <w:p w14:paraId="41C89E50" w14:textId="542D05F1" w:rsidR="00AD1481" w:rsidRPr="00805DCA" w:rsidRDefault="00D842B0" w:rsidP="4D2FE79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32104CC">
        <w:rPr>
          <w:rFonts w:ascii="Arial" w:hAnsi="Arial" w:cs="Arial"/>
          <w:color w:val="000000" w:themeColor="text1"/>
          <w:sz w:val="22"/>
          <w:szCs w:val="22"/>
        </w:rPr>
        <w:t xml:space="preserve">When children start 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005377">
        <w:rPr>
          <w:rFonts w:ascii="Arial" w:hAnsi="Arial" w:cs="Arial"/>
          <w:color w:val="000000" w:themeColor="text1"/>
          <w:sz w:val="22"/>
          <w:szCs w:val="22"/>
        </w:rPr>
        <w:t xml:space="preserve">Bollington </w:t>
      </w:r>
      <w:proofErr w:type="gramStart"/>
      <w:r w:rsidR="00005377">
        <w:rPr>
          <w:rFonts w:ascii="Arial" w:hAnsi="Arial" w:cs="Arial"/>
          <w:color w:val="000000" w:themeColor="text1"/>
          <w:sz w:val="22"/>
          <w:szCs w:val="22"/>
        </w:rPr>
        <w:t>Pre-School</w:t>
      </w:r>
      <w:proofErr w:type="gramEnd"/>
      <w:r w:rsidR="00005377">
        <w:rPr>
          <w:rFonts w:ascii="Arial" w:hAnsi="Arial" w:cs="Arial"/>
          <w:color w:val="000000" w:themeColor="text1"/>
          <w:sz w:val="22"/>
          <w:szCs w:val="22"/>
        </w:rPr>
        <w:t xml:space="preserve"> t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>hey arrive at different levels of learning an</w:t>
      </w:r>
      <w:r w:rsidR="00980FC7" w:rsidRPr="132104CC">
        <w:rPr>
          <w:rFonts w:ascii="Arial" w:hAnsi="Arial" w:cs="Arial"/>
          <w:color w:val="000000" w:themeColor="text1"/>
          <w:sz w:val="22"/>
          <w:szCs w:val="22"/>
        </w:rPr>
        <w:t>d development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FD56C6" w:rsidRPr="132104CC">
        <w:rPr>
          <w:rFonts w:ascii="Arial" w:hAnsi="Arial" w:cs="Arial"/>
          <w:color w:val="000000" w:themeColor="text1"/>
          <w:sz w:val="22"/>
          <w:szCs w:val="22"/>
        </w:rPr>
        <w:t>To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 xml:space="preserve"> help </w:t>
      </w:r>
      <w:r w:rsidR="00B73430" w:rsidRPr="132104CC">
        <w:rPr>
          <w:rFonts w:ascii="Arial" w:hAnsi="Arial" w:cs="Arial"/>
          <w:color w:val="000000" w:themeColor="text1"/>
          <w:sz w:val="22"/>
          <w:szCs w:val="22"/>
        </w:rPr>
        <w:t xml:space="preserve">them to 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>settle and make</w:t>
      </w:r>
      <w:r w:rsidR="008E26F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 xml:space="preserve">progress it is important that they are provided with care and learning opportunities that are suited to their needs, interests and abilities. </w:t>
      </w:r>
      <w:r w:rsidR="00444E5E" w:rsidRPr="132104CC">
        <w:rPr>
          <w:rFonts w:ascii="Arial" w:hAnsi="Arial" w:cs="Arial"/>
          <w:color w:val="000000" w:themeColor="text1"/>
          <w:sz w:val="22"/>
          <w:szCs w:val="22"/>
        </w:rPr>
        <w:t>This means establishing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 xml:space="preserve"> and understanding their starting points and whether there are any obstacles to their learning, so that teaching can be tailored to the ‘unique child’.</w:t>
      </w:r>
    </w:p>
    <w:p w14:paraId="52793120" w14:textId="77777777" w:rsidR="00444E5E" w:rsidRPr="00805DCA" w:rsidRDefault="00444E5E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805DCA">
        <w:rPr>
          <w:rFonts w:cs="Arial"/>
          <w:color w:val="000000" w:themeColor="text1"/>
          <w:szCs w:val="22"/>
        </w:rPr>
        <w:t>The aim of establishing a ch</w:t>
      </w:r>
      <w:r w:rsidR="00980FC7" w:rsidRPr="00805DCA">
        <w:rPr>
          <w:rFonts w:cs="Arial"/>
          <w:color w:val="000000" w:themeColor="text1"/>
          <w:szCs w:val="22"/>
        </w:rPr>
        <w:t xml:space="preserve">ild’s starting points is </w:t>
      </w:r>
      <w:r w:rsidRPr="00805DCA">
        <w:rPr>
          <w:rFonts w:cs="Arial"/>
          <w:color w:val="000000" w:themeColor="text1"/>
          <w:szCs w:val="22"/>
        </w:rPr>
        <w:t>to ensure that the most appropriate care and learning is provided from the outset</w:t>
      </w:r>
      <w:r w:rsidR="00880801" w:rsidRPr="00805DCA">
        <w:rPr>
          <w:rFonts w:cs="Arial"/>
          <w:color w:val="000000" w:themeColor="text1"/>
          <w:szCs w:val="22"/>
        </w:rPr>
        <w:t>.</w:t>
      </w:r>
    </w:p>
    <w:p w14:paraId="3D0D7CAC" w14:textId="6498D3AC" w:rsidR="00AD1481" w:rsidRPr="00805DCA" w:rsidRDefault="00AD1481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805DCA">
        <w:rPr>
          <w:rFonts w:cs="Arial"/>
          <w:color w:val="000000" w:themeColor="text1"/>
          <w:szCs w:val="22"/>
        </w:rPr>
        <w:t>Starting points are established by gathering information from the first contact with the child’s parents</w:t>
      </w:r>
      <w:r w:rsidR="00FD56C6" w:rsidRPr="00805DCA">
        <w:rPr>
          <w:rFonts w:cs="Arial"/>
          <w:color w:val="000000" w:themeColor="text1"/>
          <w:szCs w:val="22"/>
        </w:rPr>
        <w:t>/carers</w:t>
      </w:r>
      <w:r w:rsidRPr="00805DCA">
        <w:rPr>
          <w:rFonts w:cs="Arial"/>
          <w:color w:val="000000" w:themeColor="text1"/>
          <w:szCs w:val="22"/>
        </w:rPr>
        <w:t xml:space="preserve"> at induction and during the ‘settling in’ period.</w:t>
      </w:r>
      <w:r w:rsidR="00880801" w:rsidRPr="00805DCA">
        <w:rPr>
          <w:rFonts w:cs="Arial"/>
          <w:color w:val="000000" w:themeColor="text1"/>
          <w:szCs w:val="22"/>
        </w:rPr>
        <w:t xml:space="preserve"> Staff do not ‘wait and see’ how the child is settling before they begin to gather information. </w:t>
      </w:r>
    </w:p>
    <w:p w14:paraId="2DBF0D7D" w14:textId="0E861560" w:rsidR="004A079D" w:rsidRPr="00805DCA" w:rsidRDefault="00AD1481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805DCA">
        <w:rPr>
          <w:rFonts w:cs="Arial"/>
          <w:color w:val="000000" w:themeColor="text1"/>
          <w:szCs w:val="22"/>
        </w:rPr>
        <w:t>The key person is responsible for establishing their key children’s starting points by gathering information in the following ways</w:t>
      </w:r>
      <w:r w:rsidR="004A079D" w:rsidRPr="00805DCA">
        <w:rPr>
          <w:rFonts w:cs="Arial"/>
          <w:color w:val="000000" w:themeColor="text1"/>
          <w:szCs w:val="22"/>
        </w:rPr>
        <w:t>:</w:t>
      </w:r>
    </w:p>
    <w:p w14:paraId="4AA57C59" w14:textId="77777777" w:rsidR="00AD1481" w:rsidRPr="00805DCA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>observation of the child during settling in visits</w:t>
      </w:r>
    </w:p>
    <w:p w14:paraId="3BFDA981" w14:textId="4C99D5CC" w:rsidR="00AD1481" w:rsidRPr="00805DCA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>discussion with the child’s parents</w:t>
      </w:r>
      <w:r w:rsidR="00FD56C6" w:rsidRPr="00805DCA">
        <w:rPr>
          <w:rFonts w:ascii="Arial" w:hAnsi="Arial" w:cs="Arial"/>
          <w:color w:val="000000" w:themeColor="text1"/>
          <w:sz w:val="22"/>
          <w:szCs w:val="22"/>
        </w:rPr>
        <w:t>/carers</w:t>
      </w:r>
    </w:p>
    <w:p w14:paraId="4A848D3C" w14:textId="7FF8607C" w:rsidR="00EA0A1B" w:rsidRPr="00805DCA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>building on information that has been gathered during registration</w:t>
      </w:r>
      <w:r w:rsidR="00444E5E" w:rsidRPr="00805DCA">
        <w:rPr>
          <w:rFonts w:ascii="Arial" w:hAnsi="Arial" w:cs="Arial"/>
          <w:color w:val="000000" w:themeColor="text1"/>
          <w:sz w:val="22"/>
          <w:szCs w:val="22"/>
        </w:rPr>
        <w:t xml:space="preserve"> by referring to the registration form</w:t>
      </w:r>
    </w:p>
    <w:p w14:paraId="1E26B35C" w14:textId="583C245A" w:rsidR="004A079D" w:rsidRPr="00805DCA" w:rsidRDefault="00444E5E" w:rsidP="00085A01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>T</w:t>
      </w:r>
      <w:r w:rsidR="00880801" w:rsidRPr="00805DCA">
        <w:rPr>
          <w:rFonts w:ascii="Arial" w:hAnsi="Arial" w:cs="Arial"/>
          <w:color w:val="000000" w:themeColor="text1"/>
          <w:sz w:val="22"/>
          <w:szCs w:val="22"/>
        </w:rPr>
        <w:t xml:space="preserve">he information gathered is </w:t>
      </w:r>
      <w:r w:rsidR="00C60CC2" w:rsidRPr="00805DCA">
        <w:rPr>
          <w:rFonts w:ascii="Arial" w:hAnsi="Arial" w:cs="Arial"/>
          <w:color w:val="000000" w:themeColor="text1"/>
          <w:sz w:val="22"/>
          <w:szCs w:val="22"/>
        </w:rPr>
        <w:t xml:space="preserve">recorded </w:t>
      </w:r>
      <w:r w:rsidRPr="00805DCA">
        <w:rPr>
          <w:rFonts w:ascii="Arial" w:hAnsi="Arial" w:cs="Arial"/>
          <w:color w:val="000000" w:themeColor="text1"/>
          <w:sz w:val="22"/>
          <w:szCs w:val="22"/>
        </w:rPr>
        <w:t xml:space="preserve">within </w:t>
      </w:r>
      <w:r w:rsidR="006F5A0A" w:rsidRPr="00805DCA">
        <w:rPr>
          <w:rFonts w:ascii="Arial" w:hAnsi="Arial" w:cs="Arial"/>
          <w:color w:val="000000" w:themeColor="text1"/>
          <w:sz w:val="22"/>
          <w:szCs w:val="22"/>
        </w:rPr>
        <w:t>two</w:t>
      </w:r>
      <w:r w:rsidRPr="00805DCA">
        <w:rPr>
          <w:rFonts w:ascii="Arial" w:hAnsi="Arial" w:cs="Arial"/>
          <w:color w:val="000000" w:themeColor="text1"/>
          <w:sz w:val="22"/>
          <w:szCs w:val="22"/>
        </w:rPr>
        <w:t xml:space="preserve"> weeks of the child’</w:t>
      </w:r>
      <w:r w:rsidR="00880801" w:rsidRPr="00805DCA">
        <w:rPr>
          <w:rFonts w:ascii="Arial" w:hAnsi="Arial" w:cs="Arial"/>
          <w:color w:val="000000" w:themeColor="text1"/>
          <w:sz w:val="22"/>
          <w:szCs w:val="22"/>
        </w:rPr>
        <w:t>s official start date and sooner where possible.</w:t>
      </w:r>
    </w:p>
    <w:p w14:paraId="27BB8B11" w14:textId="3736E47C" w:rsidR="00880801" w:rsidRPr="00805DCA" w:rsidRDefault="00880801" w:rsidP="00170E6A">
      <w:pPr>
        <w:numPr>
          <w:ilvl w:val="0"/>
          <w:numId w:val="9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 xml:space="preserve">The key person must make a ‘best fit’ judgment about the age band the child is working in, referring to Development Matters or </w:t>
      </w:r>
      <w:r w:rsidR="007972B0" w:rsidRPr="00805DCA">
        <w:rPr>
          <w:rFonts w:ascii="Arial" w:hAnsi="Arial" w:cs="Arial"/>
          <w:color w:val="000000" w:themeColor="text1"/>
          <w:sz w:val="22"/>
          <w:szCs w:val="22"/>
        </w:rPr>
        <w:t xml:space="preserve">Birth to </w:t>
      </w:r>
      <w:r w:rsidR="008E26F3">
        <w:rPr>
          <w:rFonts w:ascii="Arial" w:hAnsi="Arial" w:cs="Arial"/>
          <w:color w:val="000000" w:themeColor="text1"/>
          <w:sz w:val="22"/>
          <w:szCs w:val="22"/>
        </w:rPr>
        <w:t xml:space="preserve">5 </w:t>
      </w:r>
      <w:r w:rsidR="007972B0" w:rsidRPr="00805DCA">
        <w:rPr>
          <w:rFonts w:ascii="Arial" w:hAnsi="Arial" w:cs="Arial"/>
          <w:color w:val="000000" w:themeColor="text1"/>
          <w:sz w:val="22"/>
          <w:szCs w:val="22"/>
        </w:rPr>
        <w:t>Matters</w:t>
      </w:r>
      <w:r w:rsidRPr="00805DC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D914BB" w14:textId="77777777" w:rsidR="00170E6A" w:rsidRDefault="00880801" w:rsidP="00170E6A">
      <w:pPr>
        <w:numPr>
          <w:ilvl w:val="0"/>
          <w:numId w:val="9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 xml:space="preserve">The key person should complete </w:t>
      </w:r>
      <w:r w:rsidR="00B96967" w:rsidRPr="00805DCA">
        <w:rPr>
          <w:rFonts w:ascii="Arial" w:hAnsi="Arial" w:cs="Arial"/>
          <w:color w:val="000000" w:themeColor="text1"/>
          <w:sz w:val="22"/>
          <w:szCs w:val="22"/>
        </w:rPr>
        <w:t xml:space="preserve">details </w:t>
      </w:r>
      <w:r w:rsidRPr="00805DCA">
        <w:rPr>
          <w:rFonts w:ascii="Arial" w:hAnsi="Arial" w:cs="Arial"/>
          <w:color w:val="000000" w:themeColor="text1"/>
          <w:sz w:val="22"/>
          <w:szCs w:val="22"/>
        </w:rPr>
        <w:t>by indicating where they have gathered their evidence from, using more than one source where possible i.e. parent</w:t>
      </w:r>
      <w:r w:rsidR="00FD56C6" w:rsidRPr="00805DCA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05DCA">
        <w:rPr>
          <w:rFonts w:ascii="Arial" w:hAnsi="Arial" w:cs="Arial"/>
          <w:color w:val="000000" w:themeColor="text1"/>
          <w:sz w:val="22"/>
          <w:szCs w:val="22"/>
        </w:rPr>
        <w:t xml:space="preserve"> comment and observation during settling in</w:t>
      </w:r>
      <w:r w:rsidR="00170E6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D602BE" w14:textId="5D9FD8EE" w:rsidR="00161D3D" w:rsidRPr="00805DCA" w:rsidRDefault="004A079D" w:rsidP="000B39E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 xml:space="preserve">If the initial assessment raises any concerns that extra support may be required procedure </w:t>
      </w:r>
      <w:r w:rsidR="007575E2" w:rsidRPr="00805DCA">
        <w:rPr>
          <w:rFonts w:ascii="Arial" w:hAnsi="Arial" w:cs="Arial"/>
          <w:color w:val="000000" w:themeColor="text1"/>
          <w:sz w:val="22"/>
          <w:szCs w:val="22"/>
        </w:rPr>
        <w:t>0</w:t>
      </w:r>
      <w:r w:rsidR="00DE12A0" w:rsidRPr="00805DCA">
        <w:rPr>
          <w:rFonts w:ascii="Arial" w:hAnsi="Arial" w:cs="Arial"/>
          <w:color w:val="000000" w:themeColor="text1"/>
          <w:sz w:val="22"/>
          <w:szCs w:val="22"/>
        </w:rPr>
        <w:t>9.1</w:t>
      </w:r>
      <w:r w:rsidR="00754FD3" w:rsidRPr="00805DCA">
        <w:rPr>
          <w:rFonts w:ascii="Arial" w:hAnsi="Arial" w:cs="Arial"/>
          <w:color w:val="000000" w:themeColor="text1"/>
          <w:sz w:val="22"/>
          <w:szCs w:val="22"/>
        </w:rPr>
        <w:t xml:space="preserve">3 Identification, assessment and support for children with SEND </w:t>
      </w:r>
      <w:r w:rsidRPr="00805DCA">
        <w:rPr>
          <w:rFonts w:ascii="Arial" w:hAnsi="Arial" w:cs="Arial"/>
          <w:color w:val="000000" w:themeColor="text1"/>
          <w:sz w:val="22"/>
          <w:szCs w:val="22"/>
        </w:rPr>
        <w:t>is followed.</w:t>
      </w:r>
    </w:p>
    <w:sectPr w:rsidR="00161D3D" w:rsidRPr="00805DCA" w:rsidSect="00164C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A3F94" w14:textId="77777777" w:rsidR="00795C9D" w:rsidRDefault="00795C9D" w:rsidP="003C7A9F">
      <w:r>
        <w:separator/>
      </w:r>
    </w:p>
  </w:endnote>
  <w:endnote w:type="continuationSeparator" w:id="0">
    <w:p w14:paraId="1BF85CAC" w14:textId="77777777" w:rsidR="00795C9D" w:rsidRDefault="00795C9D" w:rsidP="003C7A9F">
      <w:r>
        <w:continuationSeparator/>
      </w:r>
    </w:p>
  </w:endnote>
  <w:endnote w:type="continuationNotice" w:id="1">
    <w:p w14:paraId="24DF5AA0" w14:textId="77777777" w:rsidR="00795C9D" w:rsidRDefault="00795C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0633" w14:textId="77777777" w:rsidR="000C4FCE" w:rsidRDefault="000C4F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2442A798" w:rsidR="003331BD" w:rsidRPr="00005377" w:rsidRDefault="00805DCA" w:rsidP="00805DCA">
    <w:pPr>
      <w:pStyle w:val="Footer"/>
      <w:rPr>
        <w:rFonts w:ascii="Arial" w:hAnsi="Arial" w:cs="Arial"/>
        <w:i/>
        <w:iCs/>
        <w:sz w:val="20"/>
      </w:rPr>
    </w:pPr>
    <w:r w:rsidRPr="00005377">
      <w:rPr>
        <w:rFonts w:ascii="Arial" w:hAnsi="Arial" w:cs="Arial"/>
        <w:i/>
        <w:iCs/>
        <w:sz w:val="20"/>
      </w:rPr>
      <w:t>Policies &amp; Procedures for the EYFS 2026/27 (Early Years Alliance 2026) 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5D91" w14:textId="77777777" w:rsidR="000C4FCE" w:rsidRDefault="000C4F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4B6E1" w14:textId="77777777" w:rsidR="00795C9D" w:rsidRDefault="00795C9D" w:rsidP="003C7A9F">
      <w:r>
        <w:separator/>
      </w:r>
    </w:p>
  </w:footnote>
  <w:footnote w:type="continuationSeparator" w:id="0">
    <w:p w14:paraId="6E3A3738" w14:textId="77777777" w:rsidR="00795C9D" w:rsidRDefault="00795C9D" w:rsidP="003C7A9F">
      <w:r>
        <w:continuationSeparator/>
      </w:r>
    </w:p>
  </w:footnote>
  <w:footnote w:type="continuationNotice" w:id="1">
    <w:p w14:paraId="2DDB91EF" w14:textId="77777777" w:rsidR="00795C9D" w:rsidRDefault="00795C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E1C8C" w14:textId="77777777" w:rsidR="000C4FCE" w:rsidRDefault="000C4F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19C7" w14:textId="77777777" w:rsidR="000C4FCE" w:rsidRDefault="000C4F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28A0" w14:textId="77777777" w:rsidR="000C4FCE" w:rsidRDefault="000C4F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3EE1ACD"/>
    <w:multiLevelType w:val="hybridMultilevel"/>
    <w:tmpl w:val="8BDE663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9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1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4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7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6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8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9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90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3260770">
    <w:abstractNumId w:val="61"/>
  </w:num>
  <w:num w:numId="2" w16cid:durableId="746731691">
    <w:abstractNumId w:val="60"/>
  </w:num>
  <w:num w:numId="3" w16cid:durableId="352271203">
    <w:abstractNumId w:val="72"/>
  </w:num>
  <w:num w:numId="4" w16cid:durableId="982662656">
    <w:abstractNumId w:val="41"/>
  </w:num>
  <w:num w:numId="5" w16cid:durableId="2077972490">
    <w:abstractNumId w:val="34"/>
  </w:num>
  <w:num w:numId="6" w16cid:durableId="77682192">
    <w:abstractNumId w:val="6"/>
  </w:num>
  <w:num w:numId="7" w16cid:durableId="388653665">
    <w:abstractNumId w:val="50"/>
  </w:num>
  <w:num w:numId="8" w16cid:durableId="1113131293">
    <w:abstractNumId w:val="87"/>
  </w:num>
  <w:num w:numId="9" w16cid:durableId="35469306">
    <w:abstractNumId w:val="89"/>
  </w:num>
  <w:num w:numId="10" w16cid:durableId="1067609907">
    <w:abstractNumId w:val="38"/>
  </w:num>
  <w:num w:numId="11" w16cid:durableId="1568564981">
    <w:abstractNumId w:val="18"/>
  </w:num>
  <w:num w:numId="12" w16cid:durableId="1903326463">
    <w:abstractNumId w:val="53"/>
  </w:num>
  <w:num w:numId="13" w16cid:durableId="976833072">
    <w:abstractNumId w:val="27"/>
  </w:num>
  <w:num w:numId="14" w16cid:durableId="19673333">
    <w:abstractNumId w:val="10"/>
  </w:num>
  <w:num w:numId="15" w16cid:durableId="437338195">
    <w:abstractNumId w:val="16"/>
  </w:num>
  <w:num w:numId="16" w16cid:durableId="2009358318">
    <w:abstractNumId w:val="20"/>
  </w:num>
  <w:num w:numId="17" w16cid:durableId="1243611943">
    <w:abstractNumId w:val="48"/>
  </w:num>
  <w:num w:numId="18" w16cid:durableId="1471359288">
    <w:abstractNumId w:val="46"/>
  </w:num>
  <w:num w:numId="19" w16cid:durableId="1034965729">
    <w:abstractNumId w:val="3"/>
  </w:num>
  <w:num w:numId="20" w16cid:durableId="1067652641">
    <w:abstractNumId w:val="43"/>
  </w:num>
  <w:num w:numId="21" w16cid:durableId="1199394197">
    <w:abstractNumId w:val="86"/>
  </w:num>
  <w:num w:numId="22" w16cid:durableId="543444996">
    <w:abstractNumId w:val="13"/>
  </w:num>
  <w:num w:numId="23" w16cid:durableId="1093091906">
    <w:abstractNumId w:val="81"/>
  </w:num>
  <w:num w:numId="24" w16cid:durableId="121385746">
    <w:abstractNumId w:val="17"/>
  </w:num>
  <w:num w:numId="25" w16cid:durableId="1667590467">
    <w:abstractNumId w:val="83"/>
  </w:num>
  <w:num w:numId="26" w16cid:durableId="62871824">
    <w:abstractNumId w:val="39"/>
  </w:num>
  <w:num w:numId="27" w16cid:durableId="1973317554">
    <w:abstractNumId w:val="44"/>
  </w:num>
  <w:num w:numId="28" w16cid:durableId="892890841">
    <w:abstractNumId w:val="11"/>
  </w:num>
  <w:num w:numId="29" w16cid:durableId="1871987550">
    <w:abstractNumId w:val="2"/>
  </w:num>
  <w:num w:numId="30" w16cid:durableId="1039743193">
    <w:abstractNumId w:val="67"/>
  </w:num>
  <w:num w:numId="31" w16cid:durableId="877010709">
    <w:abstractNumId w:val="51"/>
  </w:num>
  <w:num w:numId="32" w16cid:durableId="1738169239">
    <w:abstractNumId w:val="32"/>
  </w:num>
  <w:num w:numId="33" w16cid:durableId="150023887">
    <w:abstractNumId w:val="8"/>
  </w:num>
  <w:num w:numId="34" w16cid:durableId="280653923">
    <w:abstractNumId w:val="74"/>
  </w:num>
  <w:num w:numId="35" w16cid:durableId="1708724388">
    <w:abstractNumId w:val="29"/>
  </w:num>
  <w:num w:numId="36" w16cid:durableId="448739638">
    <w:abstractNumId w:val="35"/>
  </w:num>
  <w:num w:numId="37" w16cid:durableId="937099569">
    <w:abstractNumId w:val="64"/>
  </w:num>
  <w:num w:numId="38" w16cid:durableId="858927280">
    <w:abstractNumId w:val="1"/>
  </w:num>
  <w:num w:numId="39" w16cid:durableId="2010327001">
    <w:abstractNumId w:val="42"/>
  </w:num>
  <w:num w:numId="40" w16cid:durableId="157157393">
    <w:abstractNumId w:val="19"/>
  </w:num>
  <w:num w:numId="41" w16cid:durableId="275062727">
    <w:abstractNumId w:val="40"/>
  </w:num>
  <w:num w:numId="42" w16cid:durableId="911889215">
    <w:abstractNumId w:val="47"/>
  </w:num>
  <w:num w:numId="43" w16cid:durableId="881983547">
    <w:abstractNumId w:val="69"/>
  </w:num>
  <w:num w:numId="44" w16cid:durableId="231889995">
    <w:abstractNumId w:val="80"/>
  </w:num>
  <w:num w:numId="45" w16cid:durableId="1064259533">
    <w:abstractNumId w:val="9"/>
  </w:num>
  <w:num w:numId="46" w16cid:durableId="301690579">
    <w:abstractNumId w:val="63"/>
  </w:num>
  <w:num w:numId="47" w16cid:durableId="129440359">
    <w:abstractNumId w:val="56"/>
  </w:num>
  <w:num w:numId="48" w16cid:durableId="102770032">
    <w:abstractNumId w:val="5"/>
  </w:num>
  <w:num w:numId="49" w16cid:durableId="1669482613">
    <w:abstractNumId w:val="76"/>
  </w:num>
  <w:num w:numId="50" w16cid:durableId="1758359537">
    <w:abstractNumId w:val="79"/>
  </w:num>
  <w:num w:numId="51" w16cid:durableId="1576668795">
    <w:abstractNumId w:val="65"/>
  </w:num>
  <w:num w:numId="52" w16cid:durableId="2129934635">
    <w:abstractNumId w:val="45"/>
  </w:num>
  <w:num w:numId="53" w16cid:durableId="1633437188">
    <w:abstractNumId w:val="70"/>
  </w:num>
  <w:num w:numId="54" w16cid:durableId="1583561785">
    <w:abstractNumId w:val="71"/>
  </w:num>
  <w:num w:numId="55" w16cid:durableId="932251024">
    <w:abstractNumId w:val="77"/>
  </w:num>
  <w:num w:numId="56" w16cid:durableId="539584950">
    <w:abstractNumId w:val="37"/>
  </w:num>
  <w:num w:numId="57" w16cid:durableId="1539705827">
    <w:abstractNumId w:val="14"/>
  </w:num>
  <w:num w:numId="58" w16cid:durableId="1946844609">
    <w:abstractNumId w:val="57"/>
  </w:num>
  <w:num w:numId="59" w16cid:durableId="232476502">
    <w:abstractNumId w:val="88"/>
  </w:num>
  <w:num w:numId="60" w16cid:durableId="356392153">
    <w:abstractNumId w:val="22"/>
  </w:num>
  <w:num w:numId="61" w16cid:durableId="828406244">
    <w:abstractNumId w:val="28"/>
  </w:num>
  <w:num w:numId="62" w16cid:durableId="1664241913">
    <w:abstractNumId w:val="49"/>
  </w:num>
  <w:num w:numId="63" w16cid:durableId="445544246">
    <w:abstractNumId w:val="15"/>
  </w:num>
  <w:num w:numId="64" w16cid:durableId="1326204539">
    <w:abstractNumId w:val="0"/>
  </w:num>
  <w:num w:numId="65" w16cid:durableId="1532181302">
    <w:abstractNumId w:val="75"/>
  </w:num>
  <w:num w:numId="66" w16cid:durableId="126360288">
    <w:abstractNumId w:val="7"/>
  </w:num>
  <w:num w:numId="67" w16cid:durableId="1236627755">
    <w:abstractNumId w:val="26"/>
  </w:num>
  <w:num w:numId="68" w16cid:durableId="1509557834">
    <w:abstractNumId w:val="73"/>
  </w:num>
  <w:num w:numId="69" w16cid:durableId="707146279">
    <w:abstractNumId w:val="66"/>
  </w:num>
  <w:num w:numId="70" w16cid:durableId="281350910">
    <w:abstractNumId w:val="55"/>
  </w:num>
  <w:num w:numId="71" w16cid:durableId="279724726">
    <w:abstractNumId w:val="54"/>
  </w:num>
  <w:num w:numId="72" w16cid:durableId="1042291209">
    <w:abstractNumId w:val="12"/>
  </w:num>
  <w:num w:numId="73" w16cid:durableId="617298516">
    <w:abstractNumId w:val="84"/>
  </w:num>
  <w:num w:numId="74" w16cid:durableId="157697550">
    <w:abstractNumId w:val="36"/>
  </w:num>
  <w:num w:numId="75" w16cid:durableId="1125539619">
    <w:abstractNumId w:val="4"/>
  </w:num>
  <w:num w:numId="76" w16cid:durableId="1599869044">
    <w:abstractNumId w:val="21"/>
  </w:num>
  <w:num w:numId="77" w16cid:durableId="877010254">
    <w:abstractNumId w:val="23"/>
  </w:num>
  <w:num w:numId="78" w16cid:durableId="1830096660">
    <w:abstractNumId w:val="68"/>
  </w:num>
  <w:num w:numId="79" w16cid:durableId="713117256">
    <w:abstractNumId w:val="82"/>
  </w:num>
  <w:num w:numId="80" w16cid:durableId="124855763">
    <w:abstractNumId w:val="85"/>
  </w:num>
  <w:num w:numId="81" w16cid:durableId="566258337">
    <w:abstractNumId w:val="52"/>
  </w:num>
  <w:num w:numId="82" w16cid:durableId="469639205">
    <w:abstractNumId w:val="30"/>
  </w:num>
  <w:num w:numId="83" w16cid:durableId="448747933">
    <w:abstractNumId w:val="25"/>
  </w:num>
  <w:num w:numId="84" w16cid:durableId="785850159">
    <w:abstractNumId w:val="90"/>
  </w:num>
  <w:num w:numId="85" w16cid:durableId="1298492224">
    <w:abstractNumId w:val="78"/>
  </w:num>
  <w:num w:numId="86" w16cid:durableId="189612205">
    <w:abstractNumId w:val="24"/>
  </w:num>
  <w:num w:numId="87" w16cid:durableId="758480892">
    <w:abstractNumId w:val="33"/>
  </w:num>
  <w:num w:numId="88" w16cid:durableId="528110026">
    <w:abstractNumId w:val="59"/>
  </w:num>
  <w:num w:numId="89" w16cid:durableId="1373769915">
    <w:abstractNumId w:val="31"/>
  </w:num>
  <w:num w:numId="90" w16cid:durableId="983893369">
    <w:abstractNumId w:val="62"/>
  </w:num>
  <w:num w:numId="91" w16cid:durableId="1430003631">
    <w:abstractNumId w:val="5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5377"/>
    <w:rsid w:val="0000647E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39E4"/>
    <w:rsid w:val="000B6464"/>
    <w:rsid w:val="000B72B8"/>
    <w:rsid w:val="000B7916"/>
    <w:rsid w:val="000C01C8"/>
    <w:rsid w:val="000C136D"/>
    <w:rsid w:val="000C39DD"/>
    <w:rsid w:val="000C4FCE"/>
    <w:rsid w:val="000D0462"/>
    <w:rsid w:val="000D1FD5"/>
    <w:rsid w:val="000D344E"/>
    <w:rsid w:val="000D56B5"/>
    <w:rsid w:val="000D749B"/>
    <w:rsid w:val="000E1710"/>
    <w:rsid w:val="000E5576"/>
    <w:rsid w:val="000E64B1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52F9D"/>
    <w:rsid w:val="00160DD7"/>
    <w:rsid w:val="0016103A"/>
    <w:rsid w:val="00161D3D"/>
    <w:rsid w:val="00162BC2"/>
    <w:rsid w:val="00163A69"/>
    <w:rsid w:val="00164CB3"/>
    <w:rsid w:val="00167CA0"/>
    <w:rsid w:val="00167F1B"/>
    <w:rsid w:val="00170E6A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4747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4B0C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183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4FC5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B7220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5F692B"/>
    <w:rsid w:val="00600244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188A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5C9D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05DCA"/>
    <w:rsid w:val="008073CD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2E35"/>
    <w:rsid w:val="008B4C53"/>
    <w:rsid w:val="008B540C"/>
    <w:rsid w:val="008C0D83"/>
    <w:rsid w:val="008C2F6B"/>
    <w:rsid w:val="008C5030"/>
    <w:rsid w:val="008D515F"/>
    <w:rsid w:val="008E26F3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1F0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5205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26E3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06BD8"/>
    <w:rsid w:val="00D10503"/>
    <w:rsid w:val="00D10B0A"/>
    <w:rsid w:val="00D118BD"/>
    <w:rsid w:val="00D12EA5"/>
    <w:rsid w:val="00D138F6"/>
    <w:rsid w:val="00D13E20"/>
    <w:rsid w:val="00D16A1B"/>
    <w:rsid w:val="00D17252"/>
    <w:rsid w:val="00D20A5A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6375"/>
    <w:rsid w:val="00E811E5"/>
    <w:rsid w:val="00E84CAF"/>
    <w:rsid w:val="00E85DE6"/>
    <w:rsid w:val="00E910C2"/>
    <w:rsid w:val="00EA0A1B"/>
    <w:rsid w:val="00EA1E8B"/>
    <w:rsid w:val="00EA28D4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35101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09E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56C6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2104CC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AE25683"/>
    <w:rsid w:val="4BFE34A5"/>
    <w:rsid w:val="4D2FE794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18D50D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597D68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05DCA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4E24A65-7645-491C-BDE4-9DAD60242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3</cp:revision>
  <cp:lastPrinted>2018-05-03T18:57:00Z</cp:lastPrinted>
  <dcterms:created xsi:type="dcterms:W3CDTF">2026-09-24T09:49:00Z</dcterms:created>
  <dcterms:modified xsi:type="dcterms:W3CDTF">2026-09-24T09:50:00Z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