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1DCD9" w14:textId="71871F98" w:rsidR="00FE13BE" w:rsidRDefault="00FE13BE" w:rsidP="00FE13BE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7D3EED8" wp14:editId="69E4BF5C">
            <wp:extent cx="928370" cy="1217930"/>
            <wp:effectExtent l="0" t="0" r="5080" b="1270"/>
            <wp:docPr id="1716312139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12139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DB7EA" w14:textId="0197234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3F706E13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</w:t>
      </w:r>
      <w:r w:rsidR="00147BC9">
        <w:rPr>
          <w:rFonts w:cs="Arial"/>
          <w:szCs w:val="22"/>
        </w:rPr>
        <w:t>settling-in</w:t>
      </w:r>
      <w:r w:rsidRPr="00085A01">
        <w:rPr>
          <w:rFonts w:cs="Arial"/>
          <w:szCs w:val="22"/>
        </w:rPr>
        <w:t xml:space="preserve">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="00147BC9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and children.</w:t>
      </w:r>
    </w:p>
    <w:p w14:paraId="026F9F0E" w14:textId="0339B2E0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="00147BC9">
        <w:rPr>
          <w:rFonts w:cs="Arial"/>
        </w:rPr>
        <w:t>,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0718EA0E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B547E3">
        <w:rPr>
          <w:rFonts w:ascii="Arial" w:hAnsi="Arial" w:cs="Arial"/>
          <w:sz w:val="22"/>
          <w:szCs w:val="22"/>
        </w:rPr>
        <w:t>,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B547E3">
        <w:rPr>
          <w:rFonts w:ascii="Arial" w:hAnsi="Arial" w:cs="Arial"/>
          <w:sz w:val="22"/>
          <w:szCs w:val="22"/>
        </w:rPr>
        <w:t>,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38B1F" w14:textId="77777777" w:rsidR="00905F94" w:rsidRDefault="00905F94" w:rsidP="003C7A9F">
      <w:r>
        <w:separator/>
      </w:r>
    </w:p>
  </w:endnote>
  <w:endnote w:type="continuationSeparator" w:id="0">
    <w:p w14:paraId="3BE74C2E" w14:textId="77777777" w:rsidR="00905F94" w:rsidRDefault="00905F9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CCBB" w14:textId="77777777" w:rsidR="00905F94" w:rsidRDefault="00905F94" w:rsidP="003C7A9F">
      <w:r>
        <w:separator/>
      </w:r>
    </w:p>
  </w:footnote>
  <w:footnote w:type="continuationSeparator" w:id="0">
    <w:p w14:paraId="76F47D15" w14:textId="77777777" w:rsidR="00905F94" w:rsidRDefault="00905F9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47BC9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302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087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7E3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555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13BE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3089</Characters>
  <Application>Microsoft Office Word</Application>
  <DocSecurity>0</DocSecurity>
  <Lines>50</Lines>
  <Paragraphs>27</Paragraphs>
  <ScaleCrop>false</ScaleCrop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5</cp:revision>
  <cp:lastPrinted>2018-05-03T18:57:00Z</cp:lastPrinted>
  <dcterms:created xsi:type="dcterms:W3CDTF">2025-09-29T09:02:00Z</dcterms:created>
  <dcterms:modified xsi:type="dcterms:W3CDTF">2025-09-29T09:03:00Z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  <property fmtid="{D5CDD505-2E9C-101B-9397-08002B2CF9AE}" pid="6" name="GrammarlyDocumentId">
    <vt:lpwstr>135f4985-7b15-4c8e-a258-fa4cf3572bdd</vt:lpwstr>
  </property>
</Properties>
</file>