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2956" w14:textId="2DABA502" w:rsidR="00E972CE" w:rsidRDefault="00E972CE" w:rsidP="00E972CE">
      <w:pPr>
        <w:pStyle w:val="Heading2"/>
        <w:spacing w:before="120" w:after="120"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2CE5FA7F" wp14:editId="40EFA695">
            <wp:extent cx="798195" cy="1047115"/>
            <wp:effectExtent l="0" t="0" r="1905" b="635"/>
            <wp:docPr id="747757098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57098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98E8A" w14:textId="43B02549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7DB37076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>, this policy was adopted by</w:t>
      </w:r>
      <w:r w:rsidR="00E972CE">
        <w:rPr>
          <w:b w:val="0"/>
          <w:sz w:val="22"/>
          <w:szCs w:val="22"/>
        </w:rPr>
        <w:t xml:space="preserve"> Bollington Pre-School </w:t>
      </w:r>
      <w:r w:rsidRPr="0049232B">
        <w:rPr>
          <w:b w:val="0"/>
          <w:sz w:val="22"/>
          <w:szCs w:val="22"/>
        </w:rPr>
        <w:t>on</w:t>
      </w:r>
      <w:r w:rsidR="00E972CE">
        <w:rPr>
          <w:b w:val="0"/>
          <w:sz w:val="22"/>
          <w:szCs w:val="22"/>
        </w:rPr>
        <w:t xml:space="preserve"> 22/09/2025</w:t>
      </w:r>
    </w:p>
    <w:p w14:paraId="16EBB4EA" w14:textId="299EF9F8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 w:rsidR="007035B0">
        <w:rPr>
          <w:rFonts w:ascii="Arial" w:hAnsi="Arial" w:cs="Arial"/>
          <w:b/>
        </w:rPr>
        <w:t xml:space="preserve"> </w:t>
      </w:r>
      <w:r w:rsidR="00A110F6">
        <w:rPr>
          <w:rFonts w:ascii="Arial" w:hAnsi="Arial" w:cs="Arial"/>
          <w:b/>
        </w:rPr>
        <w:t>is</w:t>
      </w:r>
      <w:r w:rsidR="007035B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E972CE">
        <w:rPr>
          <w:rFonts w:ascii="Arial" w:hAnsi="Arial" w:cs="Arial"/>
        </w:rPr>
        <w:t xml:space="preserve">Beth Ryan </w:t>
      </w:r>
    </w:p>
    <w:p w14:paraId="333B4B39" w14:textId="4B737A8C" w:rsidR="009D08F3" w:rsidRPr="00A110F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A110F6">
        <w:rPr>
          <w:sz w:val="24"/>
          <w:szCs w:val="24"/>
        </w:rPr>
        <w:t>Aim</w:t>
      </w:r>
    </w:p>
    <w:p w14:paraId="07459315" w14:textId="1F66AC60" w:rsidR="009D08F3" w:rsidRPr="005B3DC7" w:rsidRDefault="00E972CE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110F6">
        <w:rPr>
          <w:rFonts w:ascii="Arial" w:hAnsi="Arial" w:cs="Arial"/>
          <w:sz w:val="22"/>
          <w:szCs w:val="22"/>
        </w:rPr>
        <w:t xml:space="preserve">Bollington Pre-School </w:t>
      </w:r>
      <w:r w:rsidR="003501D2" w:rsidRPr="00A110F6">
        <w:rPr>
          <w:rFonts w:ascii="Arial" w:hAnsi="Arial" w:cs="Arial"/>
          <w:sz w:val="22"/>
          <w:szCs w:val="22"/>
        </w:rPr>
        <w:t>is</w:t>
      </w:r>
      <w:r w:rsidR="009D08F3" w:rsidRPr="00A110F6">
        <w:rPr>
          <w:rFonts w:ascii="Arial" w:hAnsi="Arial" w:cs="Arial"/>
          <w:sz w:val="22"/>
          <w:szCs w:val="22"/>
        </w:rPr>
        <w:t xml:space="preserve"> </w:t>
      </w:r>
      <w:r w:rsidR="00CC17EE" w:rsidRPr="00A110F6">
        <w:rPr>
          <w:rFonts w:ascii="Arial" w:hAnsi="Arial" w:cs="Arial"/>
          <w:sz w:val="22"/>
          <w:szCs w:val="22"/>
        </w:rPr>
        <w:t xml:space="preserve">a </w:t>
      </w:r>
      <w:r w:rsidR="009D08F3" w:rsidRPr="00A110F6">
        <w:rPr>
          <w:rFonts w:ascii="Arial" w:hAnsi="Arial" w:cs="Arial"/>
          <w:sz w:val="22"/>
          <w:szCs w:val="22"/>
        </w:rPr>
        <w:t xml:space="preserve">suitable, </w:t>
      </w:r>
      <w:r w:rsidR="00446A70" w:rsidRPr="00A110F6">
        <w:rPr>
          <w:rFonts w:ascii="Arial" w:hAnsi="Arial" w:cs="Arial"/>
          <w:sz w:val="22"/>
          <w:szCs w:val="22"/>
        </w:rPr>
        <w:t>clean,</w:t>
      </w:r>
      <w:r w:rsidR="009D08F3" w:rsidRPr="00A110F6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00A110F6">
        <w:rPr>
          <w:rFonts w:ascii="Arial" w:hAnsi="Arial" w:cs="Arial"/>
          <w:sz w:val="22"/>
          <w:szCs w:val="22"/>
        </w:rPr>
        <w:t xml:space="preserve">We </w:t>
      </w:r>
      <w:r w:rsidR="009D08F3" w:rsidRPr="00A110F6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A110F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="00EA6F7E"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0F6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0A9E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4DDF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07496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972CE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9ecd9464-01dd-4d64-bd14-78eb53cb503a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c3b80c5-640a-4874-b78c-e0b0a16b43ff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1442</Characters>
  <Application>Microsoft Office Word</Application>
  <DocSecurity>0</DocSecurity>
  <Lines>33</Lines>
  <Paragraphs>24</Paragraphs>
  <ScaleCrop>false</ScaleCrop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4</cp:revision>
  <cp:lastPrinted>2011-11-21T12:20:00Z</cp:lastPrinted>
  <dcterms:created xsi:type="dcterms:W3CDTF">2025-09-22T11:53:00Z</dcterms:created>
  <dcterms:modified xsi:type="dcterms:W3CDTF">2025-09-22T11:54:00Z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50fb87a4-6db0-4767-9627-a5f592cdb02b</vt:lpwstr>
  </property>
</Properties>
</file>