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E1EE" w14:textId="2C8CA370" w:rsidR="00363650" w:rsidRDefault="0013548F" w:rsidP="0013548F">
      <w:pPr>
        <w:spacing w:before="240" w:afterLines="240" w:after="576"/>
        <w:rPr>
          <w:rFonts w:ascii="Arial" w:hAnsi="Arial" w:cs="Arial"/>
          <w:b/>
          <w:bCs/>
          <w:sz w:val="28"/>
          <w:szCs w:val="28"/>
        </w:rPr>
      </w:pPr>
      <w:r w:rsidRPr="0013548F">
        <w:rPr>
          <w:rFonts w:ascii="Arial" w:hAnsi="Arial" w:cs="Arial"/>
          <w:b/>
          <w:bCs/>
          <w:sz w:val="28"/>
          <w:szCs w:val="28"/>
        </w:rPr>
        <w:t>9.</w:t>
      </w:r>
      <w:r w:rsidR="00704C2E">
        <w:rPr>
          <w:rFonts w:ascii="Arial" w:hAnsi="Arial" w:cs="Arial"/>
          <w:b/>
          <w:bCs/>
          <w:sz w:val="28"/>
          <w:szCs w:val="28"/>
        </w:rPr>
        <w:t>3</w:t>
      </w:r>
      <w:r w:rsidRPr="0013548F">
        <w:rPr>
          <w:rFonts w:ascii="Arial" w:hAnsi="Arial" w:cs="Arial"/>
          <w:b/>
          <w:bCs/>
          <w:sz w:val="28"/>
          <w:szCs w:val="28"/>
        </w:rPr>
        <w:t xml:space="preserve"> </w:t>
      </w:r>
      <w:r w:rsidR="00363650" w:rsidRPr="0013548F">
        <w:rPr>
          <w:rFonts w:ascii="Arial" w:hAnsi="Arial" w:cs="Arial"/>
          <w:b/>
          <w:bCs/>
          <w:sz w:val="28"/>
          <w:szCs w:val="28"/>
        </w:rPr>
        <w:t>S</w:t>
      </w:r>
      <w:r w:rsidR="000A04FC" w:rsidRPr="0013548F">
        <w:rPr>
          <w:rFonts w:ascii="Arial" w:hAnsi="Arial" w:cs="Arial"/>
          <w:b/>
          <w:bCs/>
          <w:sz w:val="28"/>
          <w:szCs w:val="28"/>
        </w:rPr>
        <w:t xml:space="preserve">ocial </w:t>
      </w:r>
      <w:r w:rsidR="00363650" w:rsidRPr="0013548F">
        <w:rPr>
          <w:rFonts w:ascii="Arial" w:hAnsi="Arial" w:cs="Arial"/>
          <w:b/>
          <w:bCs/>
          <w:sz w:val="28"/>
          <w:szCs w:val="28"/>
        </w:rPr>
        <w:t>W</w:t>
      </w:r>
      <w:r w:rsidR="000A04FC" w:rsidRPr="0013548F">
        <w:rPr>
          <w:rFonts w:ascii="Arial" w:hAnsi="Arial" w:cs="Arial"/>
          <w:b/>
          <w:bCs/>
          <w:sz w:val="28"/>
          <w:szCs w:val="28"/>
        </w:rPr>
        <w:t xml:space="preserve">ellbeing </w:t>
      </w:r>
      <w:r w:rsidR="00363650" w:rsidRPr="0013548F">
        <w:rPr>
          <w:rFonts w:ascii="Arial" w:hAnsi="Arial" w:cs="Arial"/>
          <w:b/>
          <w:bCs/>
          <w:sz w:val="28"/>
          <w:szCs w:val="28"/>
        </w:rPr>
        <w:t>A</w:t>
      </w:r>
      <w:r w:rsidR="000A04FC" w:rsidRPr="0013548F">
        <w:rPr>
          <w:rFonts w:ascii="Arial" w:hAnsi="Arial" w:cs="Arial"/>
          <w:b/>
          <w:bCs/>
          <w:sz w:val="28"/>
          <w:szCs w:val="28"/>
        </w:rPr>
        <w:t>udit</w:t>
      </w:r>
    </w:p>
    <w:p w14:paraId="2A66CC1E" w14:textId="44B158DD" w:rsidR="00245757" w:rsidRPr="0013548F" w:rsidRDefault="00245757" w:rsidP="0013548F">
      <w:pPr>
        <w:spacing w:before="240" w:afterLines="240" w:after="57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 w14:anchorId="62AAF870">
          <v:shape id="_x0000_i1025" type="#_x0000_t75" style="width:149.25pt;height:120pt">
            <v:imagedata r:id="rId11" o:title="logo"/>
          </v:shape>
        </w:pict>
      </w:r>
    </w:p>
    <w:p w14:paraId="27EB0B6E" w14:textId="2793B2BC" w:rsidR="00D00B39" w:rsidRDefault="00886BE6" w:rsidP="007E1065">
      <w:pPr>
        <w:spacing w:before="120" w:after="120"/>
        <w:contextualSpacing/>
        <w:rPr>
          <w:rFonts w:ascii="Arial" w:hAnsi="Arial" w:cs="Arial"/>
          <w:i/>
          <w:sz w:val="22"/>
          <w:szCs w:val="22"/>
        </w:rPr>
      </w:pPr>
      <w:r w:rsidRPr="001844AB">
        <w:rPr>
          <w:rFonts w:ascii="Arial" w:hAnsi="Arial" w:cs="Arial"/>
          <w:i/>
          <w:sz w:val="22"/>
          <w:szCs w:val="22"/>
        </w:rPr>
        <w:t>Please</w:t>
      </w:r>
      <w:r w:rsidR="00245757">
        <w:rPr>
          <w:rFonts w:ascii="Arial" w:hAnsi="Arial" w:cs="Arial"/>
          <w:i/>
          <w:sz w:val="22"/>
          <w:szCs w:val="22"/>
        </w:rPr>
        <w:t xml:space="preserve"> </w:t>
      </w:r>
      <w:r w:rsidR="00363650" w:rsidRPr="001844AB">
        <w:rPr>
          <w:rFonts w:ascii="Arial" w:hAnsi="Arial" w:cs="Arial"/>
          <w:i/>
          <w:sz w:val="22"/>
          <w:szCs w:val="22"/>
        </w:rPr>
        <w:t>include</w:t>
      </w:r>
      <w:r w:rsidRPr="001844AB">
        <w:rPr>
          <w:rFonts w:ascii="Arial" w:hAnsi="Arial" w:cs="Arial"/>
          <w:i/>
          <w:sz w:val="22"/>
          <w:szCs w:val="22"/>
        </w:rPr>
        <w:t xml:space="preserve"> comment</w:t>
      </w:r>
      <w:r w:rsidR="00363650" w:rsidRPr="001844AB">
        <w:rPr>
          <w:rFonts w:ascii="Arial" w:hAnsi="Arial" w:cs="Arial"/>
          <w:i/>
          <w:sz w:val="22"/>
          <w:szCs w:val="22"/>
        </w:rPr>
        <w:t>s</w:t>
      </w:r>
      <w:r w:rsidRPr="001844AB">
        <w:rPr>
          <w:rFonts w:ascii="Arial" w:hAnsi="Arial" w:cs="Arial"/>
          <w:i/>
          <w:sz w:val="22"/>
          <w:szCs w:val="22"/>
        </w:rPr>
        <w:t xml:space="preserve"> and actions for each question answered </w:t>
      </w:r>
      <w:r w:rsidR="00363650" w:rsidRPr="001844AB">
        <w:rPr>
          <w:rFonts w:ascii="Arial" w:hAnsi="Arial" w:cs="Arial"/>
          <w:i/>
          <w:sz w:val="22"/>
          <w:szCs w:val="22"/>
        </w:rPr>
        <w:t>‘No’.</w:t>
      </w:r>
    </w:p>
    <w:p w14:paraId="683C9AC7" w14:textId="780AC53E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503DCC84" w14:textId="6DDBBA7E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218E6C1C" w14:textId="6FD63D38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08F77F63" w14:textId="19DEBE20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11309E34" w14:textId="1131FCCC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45BBD1A9" w14:textId="51671909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7B384389" w14:textId="3883D3BC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345E9B9B" w14:textId="2C8447A7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69BD89F0" w14:textId="2761A5D7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6823E0ED" w14:textId="4378CA4D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0BF5BC86" w14:textId="6D4E1E45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68EC22BE" w14:textId="45FDBF98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32AC0BA0" w14:textId="0D46D810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71DB969B" w14:textId="102DAC60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433AA04A" w14:textId="3B240050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6F2CD733" w14:textId="2648AD13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4D247AF5" w14:textId="0B8DE6AB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5DD6E38B" w14:textId="17E438E5" w:rsidR="00245757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p w14:paraId="1555BA7E" w14:textId="77777777" w:rsidR="00245757" w:rsidRPr="001844AB" w:rsidRDefault="00245757" w:rsidP="007E1065">
      <w:pPr>
        <w:spacing w:before="120" w:after="120"/>
        <w:contextualSpacing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6"/>
        <w:gridCol w:w="812"/>
        <w:gridCol w:w="815"/>
        <w:gridCol w:w="3095"/>
        <w:gridCol w:w="4072"/>
      </w:tblGrid>
      <w:tr w:rsidR="00F9380C" w:rsidRPr="0013548F" w14:paraId="0BAB94F5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shd w:val="clear" w:color="auto" w:fill="auto"/>
          </w:tcPr>
          <w:p w14:paraId="7F2235A1" w14:textId="77777777" w:rsidR="00F9380C" w:rsidRPr="0013548F" w:rsidRDefault="00C57C9A" w:rsidP="007E1065">
            <w:pPr>
              <w:pStyle w:val="Heading2"/>
              <w:spacing w:before="120" w:after="120"/>
              <w:contextualSpacing/>
              <w:rPr>
                <w:szCs w:val="22"/>
              </w:rPr>
            </w:pPr>
            <w:r w:rsidRPr="0013548F">
              <w:rPr>
                <w:bCs w:val="0"/>
                <w:szCs w:val="22"/>
              </w:rPr>
              <w:lastRenderedPageBreak/>
              <w:t>Audit</w:t>
            </w:r>
            <w:r w:rsidR="00F9380C" w:rsidRPr="0013548F">
              <w:rPr>
                <w:bCs w:val="0"/>
                <w:szCs w:val="22"/>
              </w:rPr>
              <w:t xml:space="preserve"> Area</w:t>
            </w:r>
          </w:p>
        </w:tc>
        <w:tc>
          <w:tcPr>
            <w:tcW w:w="255" w:type="pct"/>
            <w:tcBorders>
              <w:bottom w:val="single" w:sz="4" w:space="0" w:color="7030A0"/>
            </w:tcBorders>
            <w:shd w:val="clear" w:color="auto" w:fill="auto"/>
          </w:tcPr>
          <w:p w14:paraId="5E704F72" w14:textId="77777777" w:rsidR="00F9380C" w:rsidRPr="0013548F" w:rsidRDefault="00F9380C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3548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56" w:type="pct"/>
            <w:tcBorders>
              <w:bottom w:val="single" w:sz="4" w:space="0" w:color="7030A0"/>
            </w:tcBorders>
            <w:shd w:val="clear" w:color="auto" w:fill="auto"/>
          </w:tcPr>
          <w:p w14:paraId="15A4A481" w14:textId="77777777" w:rsidR="00F9380C" w:rsidRPr="0013548F" w:rsidRDefault="00F9380C" w:rsidP="007E1065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8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72" w:type="pct"/>
            <w:tcBorders>
              <w:bottom w:val="single" w:sz="4" w:space="0" w:color="7030A0"/>
            </w:tcBorders>
            <w:shd w:val="clear" w:color="auto" w:fill="auto"/>
          </w:tcPr>
          <w:p w14:paraId="6847A567" w14:textId="77777777" w:rsidR="00F9380C" w:rsidRPr="0013548F" w:rsidRDefault="00C0293C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b/>
                <w:sz w:val="22"/>
                <w:szCs w:val="22"/>
              </w:rPr>
              <w:t>Comment</w:t>
            </w:r>
            <w:r w:rsidR="007E106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279" w:type="pct"/>
            <w:tcBorders>
              <w:bottom w:val="single" w:sz="4" w:space="0" w:color="7030A0"/>
            </w:tcBorders>
            <w:shd w:val="clear" w:color="auto" w:fill="auto"/>
          </w:tcPr>
          <w:p w14:paraId="1FA157A2" w14:textId="77777777" w:rsidR="00F9380C" w:rsidRPr="0013548F" w:rsidRDefault="002421E4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3548F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="007E1065">
              <w:rPr>
                <w:rFonts w:ascii="Arial" w:hAnsi="Arial" w:cs="Arial"/>
                <w:b/>
                <w:sz w:val="22"/>
                <w:szCs w:val="22"/>
              </w:rPr>
              <w:t>s to be taken</w:t>
            </w:r>
          </w:p>
        </w:tc>
      </w:tr>
      <w:tr w:rsidR="008233D2" w:rsidRPr="0013548F" w14:paraId="56251CAD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  <w:shd w:val="clear" w:color="auto" w:fill="FFFFFF"/>
          </w:tcPr>
          <w:p w14:paraId="507E29D5" w14:textId="77777777" w:rsidR="00BA147B" w:rsidRPr="0013548F" w:rsidRDefault="00097D4F" w:rsidP="0013548F">
            <w:pPr>
              <w:pStyle w:val="Heading6"/>
              <w:spacing w:before="240" w:afterLines="240" w:after="576"/>
              <w:rPr>
                <w:b w:val="0"/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>Has the setting planned and implemented a b</w:t>
            </w:r>
            <w:r w:rsidR="000A04FC" w:rsidRPr="0013548F">
              <w:rPr>
                <w:b w:val="0"/>
                <w:bCs w:val="0"/>
                <w:sz w:val="22"/>
                <w:szCs w:val="22"/>
              </w:rPr>
              <w:t>ehaviour strategy?</w:t>
            </w:r>
            <w:r w:rsidR="0042630B" w:rsidRPr="001354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1317BE60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10EF353B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43D9CF6E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15F7953E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D2" w:rsidRPr="0013548F" w14:paraId="721FCA88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  <w:shd w:val="clear" w:color="auto" w:fill="FFFFFF"/>
          </w:tcPr>
          <w:p w14:paraId="68C9F8AE" w14:textId="77777777" w:rsidR="00BA147B" w:rsidRPr="0013548F" w:rsidRDefault="00097D4F" w:rsidP="0013548F">
            <w:pPr>
              <w:pStyle w:val="Heading6"/>
              <w:spacing w:before="240" w:afterLines="240" w:after="576"/>
              <w:rPr>
                <w:b w:val="0"/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 xml:space="preserve">Does the setting have a named and suitably skilled behaviour coordinator as per the EYFS safeguarding and welfare requirements? 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7561144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BE12051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76A18942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E1B8DE8" w14:textId="77777777" w:rsidR="008233D2" w:rsidRPr="0013548F" w:rsidRDefault="008233D2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6E76CF0F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  <w:shd w:val="clear" w:color="auto" w:fill="FFFFFF"/>
          </w:tcPr>
          <w:p w14:paraId="48A9A7A9" w14:textId="77777777" w:rsidR="00ED13D3" w:rsidRPr="0013548F" w:rsidRDefault="00ED13D3" w:rsidP="0013548F">
            <w:pPr>
              <w:pStyle w:val="Heading6"/>
              <w:spacing w:before="240" w:afterLines="240" w:after="576"/>
              <w:rPr>
                <w:b w:val="0"/>
                <w:bCs w:val="0"/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>Is Leuven’s assessment scale for children’s well-being and involvement used in the setting?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F91D9BC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95AC4E3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7A3FE5C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05F98D5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1FFA6A91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  <w:shd w:val="clear" w:color="auto" w:fill="FFFFFF"/>
          </w:tcPr>
          <w:p w14:paraId="5EF26EAE" w14:textId="77777777" w:rsidR="00ED13D3" w:rsidRPr="0013548F" w:rsidRDefault="00ED13D3" w:rsidP="007E1065">
            <w:pPr>
              <w:pStyle w:val="Heading6"/>
              <w:spacing w:before="240" w:afterLines="240" w:after="576"/>
              <w:rPr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>Are the dynamics of the setting managed to ensure a balanced intake of children? (</w:t>
            </w:r>
            <w:r w:rsidR="007E1065">
              <w:rPr>
                <w:b w:val="0"/>
                <w:bCs w:val="0"/>
                <w:sz w:val="22"/>
                <w:szCs w:val="22"/>
              </w:rPr>
              <w:t>For example,</w:t>
            </w:r>
            <w:r w:rsidRPr="0013548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3548F">
              <w:rPr>
                <w:b w:val="0"/>
                <w:bCs w:val="0"/>
                <w:sz w:val="22"/>
                <w:szCs w:val="22"/>
              </w:rPr>
              <w:t>age, needs and sex of children)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158CF795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5C02D7F5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7423C11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1AB4AA6A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74C8864F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</w:tcPr>
          <w:p w14:paraId="64D71025" w14:textId="77777777" w:rsidR="00ED13D3" w:rsidRPr="0013548F" w:rsidDel="009C4073" w:rsidRDefault="00ED13D3" w:rsidP="0013548F">
            <w:pPr>
              <w:spacing w:before="240" w:afterLines="240" w:after="57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 xml:space="preserve">If used, are approved methods of rewards and sanctions used consistently by all staff? 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993429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16F85D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E6D2AF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D154A1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05768F83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  <w:tcBorders>
              <w:right w:val="single" w:sz="4" w:space="0" w:color="7030A0"/>
            </w:tcBorders>
          </w:tcPr>
          <w:p w14:paraId="4BD56DC0" w14:textId="77777777" w:rsidR="00ED13D3" w:rsidRPr="0013548F" w:rsidDel="009C4073" w:rsidRDefault="00ED13D3" w:rsidP="001844AB">
            <w:pPr>
              <w:pStyle w:val="BodyTextIndent"/>
              <w:spacing w:before="240" w:afterLines="240" w:after="576"/>
              <w:ind w:left="0"/>
              <w:rPr>
                <w:b/>
                <w:bCs/>
                <w:szCs w:val="22"/>
              </w:rPr>
            </w:pPr>
            <w:r w:rsidRPr="0013548F">
              <w:rPr>
                <w:bCs/>
                <w:szCs w:val="22"/>
              </w:rPr>
              <w:t>Do all staff understand and apply the same approved methods for intervening in minor incidents of unwanted behaviour? (</w:t>
            </w:r>
            <w:r w:rsidR="007E1065">
              <w:rPr>
                <w:bCs/>
                <w:szCs w:val="22"/>
              </w:rPr>
              <w:t>For example,</w:t>
            </w:r>
            <w:r w:rsidRPr="0013548F">
              <w:rPr>
                <w:bCs/>
                <w:szCs w:val="22"/>
              </w:rPr>
              <w:t xml:space="preserve"> conflict resolution approach)</w:t>
            </w:r>
          </w:p>
        </w:tc>
        <w:tc>
          <w:tcPr>
            <w:tcW w:w="255" w:type="pc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55E02BB3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3F960C6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6102513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30F36BA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C48E4" w14:textId="77777777" w:rsidR="007E1065" w:rsidRDefault="007E1065"/>
    <w:tbl>
      <w:tblPr>
        <w:tblW w:w="5000" w:type="pct"/>
        <w:tblLook w:val="0000" w:firstRow="0" w:lastRow="0" w:firstColumn="0" w:lastColumn="0" w:noHBand="0" w:noVBand="0"/>
      </w:tblPr>
      <w:tblGrid>
        <w:gridCol w:w="7126"/>
        <w:gridCol w:w="812"/>
        <w:gridCol w:w="815"/>
        <w:gridCol w:w="3095"/>
        <w:gridCol w:w="4072"/>
      </w:tblGrid>
      <w:tr w:rsidR="007E1065" w:rsidRPr="007E1065" w14:paraId="27AD239B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4535246D" w14:textId="77777777" w:rsidR="007E1065" w:rsidRPr="007E1065" w:rsidRDefault="007E1065" w:rsidP="007E1065">
            <w:pPr>
              <w:pStyle w:val="BodyTextIndent"/>
              <w:spacing w:before="120" w:after="120"/>
              <w:ind w:left="0"/>
              <w:contextualSpacing/>
              <w:rPr>
                <w:b/>
                <w:bCs/>
                <w:szCs w:val="22"/>
              </w:rPr>
            </w:pPr>
            <w:r w:rsidRPr="007E1065">
              <w:rPr>
                <w:b/>
                <w:bCs/>
                <w:szCs w:val="22"/>
              </w:rPr>
              <w:t>Audit Area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22C33C05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36E25E2A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25433CA3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Comment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1F7A08B7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to be taken</w:t>
            </w:r>
          </w:p>
        </w:tc>
      </w:tr>
      <w:tr w:rsidR="007E1065" w:rsidRPr="007E1065" w14:paraId="6961D82A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383BC3F5" w14:textId="77777777" w:rsidR="007E1065" w:rsidRPr="007E1065" w:rsidRDefault="007E1065" w:rsidP="00722F5E">
            <w:pPr>
              <w:pStyle w:val="BodyTextIndent"/>
              <w:spacing w:before="120" w:after="120"/>
              <w:ind w:left="0"/>
              <w:contextualSpacing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 xml:space="preserve">Are all staff trained to </w:t>
            </w:r>
            <w:proofErr w:type="gramStart"/>
            <w:r w:rsidRPr="007E1065">
              <w:rPr>
                <w:bCs/>
                <w:szCs w:val="22"/>
              </w:rPr>
              <w:t>understand:</w:t>
            </w:r>
            <w:proofErr w:type="gramEnd"/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67D94EE4" w14:textId="77777777" w:rsidR="007E1065" w:rsidRPr="007E1065" w:rsidRDefault="007E1065" w:rsidP="00722F5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16B46635" w14:textId="77777777" w:rsidR="007E1065" w:rsidRPr="007E1065" w:rsidRDefault="007E1065" w:rsidP="00722F5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21C1CFE1" w14:textId="77777777" w:rsidR="007E1065" w:rsidRPr="007E1065" w:rsidRDefault="007E1065" w:rsidP="00722F5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2350AF4D" w14:textId="77777777" w:rsidR="007E1065" w:rsidRPr="007E1065" w:rsidRDefault="007E1065" w:rsidP="00722F5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531C8D46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69AEB020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 xml:space="preserve">Methods for initial intervention, </w:t>
            </w:r>
            <w:proofErr w:type="gramStart"/>
            <w:r w:rsidRPr="007E1065">
              <w:rPr>
                <w:bCs/>
                <w:szCs w:val="22"/>
              </w:rPr>
              <w:t>identification</w:t>
            </w:r>
            <w:proofErr w:type="gramEnd"/>
            <w:r w:rsidRPr="007E1065">
              <w:rPr>
                <w:bCs/>
                <w:szCs w:val="22"/>
              </w:rPr>
              <w:t xml:space="preserve"> and analysis of </w:t>
            </w:r>
            <w:r w:rsidRPr="007E1065">
              <w:rPr>
                <w:bCs/>
                <w:szCs w:val="22"/>
              </w:rPr>
              <w:lastRenderedPageBreak/>
              <w:t>unwanted behaviours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6DA7B8E7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566D6ABB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3EA468AB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44502EB4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1BB0BB22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0964A720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Methods for adapting/changing behaviours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756C314A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52ABECB3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28A482F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4A40315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2B6269B0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6607BE7F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Appropriate reward and sanctions methods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5224025A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4A7B05F8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6CA0DBAD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72185ADB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4A9903D9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797D4E97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Alternative communication systems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573CE5E6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564C89E3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5152A16E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6A07DC3D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18B7E1D5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6B35870D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Safeguarding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7F8AFB26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11D1E3B5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3C1956D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3324756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010E0992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615F68D1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Inclusion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2444FBDC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057EE9E9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70E051F4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68B4F453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03BD2AF7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1291CB5B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Emotional literacy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7E33271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0B6EA7AF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2F23A10B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04E5ECE1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76C91456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38" w:type="pct"/>
          </w:tcPr>
          <w:p w14:paraId="0B25F431" w14:textId="77777777" w:rsidR="007E1065" w:rsidRPr="007E1065" w:rsidRDefault="007E1065" w:rsidP="00722F5E">
            <w:pPr>
              <w:pStyle w:val="BodyTextIndent"/>
              <w:numPr>
                <w:ilvl w:val="0"/>
                <w:numId w:val="52"/>
              </w:numPr>
              <w:spacing w:before="240" w:afterLines="240" w:after="576"/>
              <w:rPr>
                <w:bCs/>
                <w:szCs w:val="22"/>
              </w:rPr>
            </w:pPr>
            <w:r w:rsidRPr="007E1065">
              <w:rPr>
                <w:bCs/>
                <w:szCs w:val="22"/>
              </w:rPr>
              <w:t>Risk assessment</w:t>
            </w:r>
          </w:p>
        </w:tc>
        <w:tc>
          <w:tcPr>
            <w:tcW w:w="255" w:type="pct"/>
            <w:tcBorders>
              <w:bottom w:val="single" w:sz="4" w:space="0" w:color="7030A0"/>
            </w:tcBorders>
          </w:tcPr>
          <w:p w14:paraId="4A15A097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3ABEA1D0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3E52840D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tcBorders>
              <w:bottom w:val="single" w:sz="4" w:space="0" w:color="7030A0"/>
            </w:tcBorders>
          </w:tcPr>
          <w:p w14:paraId="7EA0B83E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E2426" w14:textId="77777777" w:rsidR="007E1065" w:rsidRDefault="007E1065"/>
    <w:p w14:paraId="6E5D97D9" w14:textId="77777777" w:rsidR="007E1065" w:rsidRDefault="007E1065"/>
    <w:tbl>
      <w:tblPr>
        <w:tblW w:w="5000" w:type="pct"/>
        <w:tblLook w:val="0000" w:firstRow="0" w:lastRow="0" w:firstColumn="0" w:lastColumn="0" w:noHBand="0" w:noVBand="0"/>
      </w:tblPr>
      <w:tblGrid>
        <w:gridCol w:w="7196"/>
        <w:gridCol w:w="742"/>
        <w:gridCol w:w="815"/>
        <w:gridCol w:w="3095"/>
        <w:gridCol w:w="1019"/>
        <w:gridCol w:w="3053"/>
      </w:tblGrid>
      <w:tr w:rsidR="007E1065" w:rsidRPr="007E1065" w14:paraId="7E3A4E08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60" w:type="pct"/>
          </w:tcPr>
          <w:p w14:paraId="17975C11" w14:textId="77777777" w:rsidR="007E1065" w:rsidRPr="007E1065" w:rsidRDefault="007E1065" w:rsidP="007E1065">
            <w:pPr>
              <w:pStyle w:val="BodyTextIndent"/>
              <w:spacing w:before="120" w:after="120"/>
              <w:ind w:left="360" w:hanging="360"/>
              <w:contextualSpacing/>
              <w:rPr>
                <w:b/>
                <w:bCs/>
                <w:szCs w:val="22"/>
              </w:rPr>
            </w:pPr>
            <w:r w:rsidRPr="007E1065">
              <w:rPr>
                <w:b/>
                <w:bCs/>
                <w:szCs w:val="22"/>
              </w:rPr>
              <w:t>Audit Area</w:t>
            </w:r>
          </w:p>
        </w:tc>
        <w:tc>
          <w:tcPr>
            <w:tcW w:w="233" w:type="pct"/>
            <w:tcBorders>
              <w:bottom w:val="single" w:sz="4" w:space="0" w:color="7030A0"/>
            </w:tcBorders>
          </w:tcPr>
          <w:p w14:paraId="24B3B1F3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56" w:type="pct"/>
            <w:tcBorders>
              <w:bottom w:val="single" w:sz="4" w:space="0" w:color="7030A0"/>
            </w:tcBorders>
          </w:tcPr>
          <w:p w14:paraId="1CBE6C7B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72" w:type="pct"/>
            <w:tcBorders>
              <w:bottom w:val="single" w:sz="4" w:space="0" w:color="7030A0"/>
            </w:tcBorders>
          </w:tcPr>
          <w:p w14:paraId="50545CCF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79" w:type="pct"/>
            <w:gridSpan w:val="2"/>
            <w:tcBorders>
              <w:bottom w:val="single" w:sz="4" w:space="0" w:color="7030A0"/>
            </w:tcBorders>
          </w:tcPr>
          <w:p w14:paraId="4F795EE5" w14:textId="77777777" w:rsidR="007E1065" w:rsidRPr="007E1065" w:rsidRDefault="007E1065" w:rsidP="007E1065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Action to be taken</w:t>
            </w:r>
          </w:p>
        </w:tc>
      </w:tr>
      <w:tr w:rsidR="00ED13D3" w:rsidRPr="0013548F" w14:paraId="2C873197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right w:val="single" w:sz="4" w:space="0" w:color="7030A0"/>
            </w:tcBorders>
            <w:shd w:val="clear" w:color="auto" w:fill="FFFFFF"/>
          </w:tcPr>
          <w:p w14:paraId="1DD076C1" w14:textId="77777777" w:rsidR="00ED13D3" w:rsidRPr="0013548F" w:rsidDel="009C4073" w:rsidRDefault="00ED13D3" w:rsidP="007E1065">
            <w:pPr>
              <w:pStyle w:val="Heading6"/>
              <w:spacing w:before="240" w:afterLines="240" w:after="576"/>
              <w:rPr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lastRenderedPageBreak/>
              <w:t>Do all staff understand and use an approved method for identifying and analysing unwanted behaviours? (</w:t>
            </w:r>
            <w:r w:rsidR="007E1065">
              <w:rPr>
                <w:b w:val="0"/>
                <w:bCs w:val="0"/>
                <w:sz w:val="22"/>
                <w:szCs w:val="22"/>
              </w:rPr>
              <w:t>For example,</w:t>
            </w:r>
            <w:r w:rsidRPr="0013548F">
              <w:rPr>
                <w:b w:val="0"/>
                <w:bCs w:val="0"/>
                <w:sz w:val="22"/>
                <w:szCs w:val="22"/>
              </w:rPr>
              <w:t xml:space="preserve"> antecedent, behaviour and consequence chart)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616888A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250486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5CF5DB4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5EE9058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45EF0719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right w:val="single" w:sz="4" w:space="0" w:color="7030A0"/>
            </w:tcBorders>
            <w:shd w:val="clear" w:color="auto" w:fill="FFFFFF"/>
          </w:tcPr>
          <w:p w14:paraId="5986443F" w14:textId="77777777" w:rsidR="00ED13D3" w:rsidRPr="0013548F" w:rsidRDefault="00ED13D3" w:rsidP="0013548F">
            <w:pPr>
              <w:pStyle w:val="Heading6"/>
              <w:spacing w:before="240" w:afterLines="240" w:after="576"/>
              <w:rPr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>Do the policy and procedures on behaviour incorporate related EYFS requirements?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EF50F4A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6A583AA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55CF48C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C26C20C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216EB10F" w14:textId="77777777" w:rsidTr="007E1065">
        <w:tblPrEx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right w:val="single" w:sz="4" w:space="0" w:color="7030A0"/>
            </w:tcBorders>
            <w:shd w:val="clear" w:color="auto" w:fill="FFFFFF"/>
          </w:tcPr>
          <w:p w14:paraId="7DF02185" w14:textId="77777777" w:rsidR="00ED13D3" w:rsidRPr="0013548F" w:rsidRDefault="00ED13D3" w:rsidP="0013548F">
            <w:pPr>
              <w:pStyle w:val="Heading6"/>
              <w:spacing w:before="240" w:afterLines="240" w:after="576"/>
              <w:rPr>
                <w:b w:val="0"/>
                <w:bCs w:val="0"/>
                <w:sz w:val="22"/>
                <w:szCs w:val="22"/>
              </w:rPr>
            </w:pPr>
            <w:r w:rsidRPr="0013548F">
              <w:rPr>
                <w:b w:val="0"/>
                <w:bCs w:val="0"/>
                <w:sz w:val="22"/>
                <w:szCs w:val="22"/>
              </w:rPr>
              <w:t>Are policy and procedures relating to ‘management’ of behaviour reviewed and updated annually?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0042EA8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22CC0D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9EE0877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2BC78CB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7D7AE87E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2E8B5F1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 xml:space="preserve">Do children have regular access to an outdoor environment? 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3CC02F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9AC97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12FF795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839D3B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2E1E2329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6F3616A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Are all areas of the indoor and outdoor play environments uncluttered and defined?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90F8EF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EB3C5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F75D2EE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629D6B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3463841C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5537B416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Is there sufficient space for children to move around freely in all areas of the play environment?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50481D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8F4EFE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7A3C3C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09BCF1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4156CE8B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68D0043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Do children have access to quiet areas?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F3E3D86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CAF01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16A1F0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F34A2D0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13548F" w14:paraId="1A18A68E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A3E8130" w14:textId="77777777" w:rsidR="007E1065" w:rsidRPr="0013548F" w:rsidRDefault="007E1065" w:rsidP="00722F5E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Is there control of natural/artificial light in play areas?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0AEEEE59" w14:textId="77777777" w:rsidR="007E1065" w:rsidRPr="0013548F" w:rsidRDefault="007E1065" w:rsidP="00722F5E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0B3A92FE" w14:textId="77777777" w:rsidR="007E1065" w:rsidRPr="0013548F" w:rsidRDefault="007E1065" w:rsidP="00722F5E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6125D8C3" w14:textId="77777777" w:rsidR="007E1065" w:rsidRPr="0013548F" w:rsidRDefault="007E1065" w:rsidP="00722F5E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</w:tcPr>
          <w:p w14:paraId="03F99D6A" w14:textId="77777777" w:rsidR="007E1065" w:rsidRPr="0013548F" w:rsidRDefault="007E1065" w:rsidP="00722F5E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7E1065" w14:paraId="31831E88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</w:tcPr>
          <w:p w14:paraId="3EBA4E28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7E1065">
              <w:rPr>
                <w:rFonts w:ascii="Arial" w:hAnsi="Arial" w:cs="Arial"/>
                <w:b/>
                <w:sz w:val="22"/>
                <w:szCs w:val="22"/>
              </w:rPr>
              <w:t>Audit Area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C5533B2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BACDB01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715A76B3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68899DA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Action to be taken</w:t>
            </w:r>
          </w:p>
        </w:tc>
      </w:tr>
      <w:tr w:rsidR="00ED13D3" w:rsidRPr="0013548F" w14:paraId="1251EC8B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E37152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lastRenderedPageBreak/>
              <w:t xml:space="preserve">Can the temperature of the </w:t>
            </w:r>
            <w:r w:rsidR="0013548F">
              <w:rPr>
                <w:rFonts w:ascii="Arial" w:hAnsi="Arial" w:cs="Arial"/>
                <w:sz w:val="22"/>
                <w:szCs w:val="22"/>
              </w:rPr>
              <w:t>play environment be controlled?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234746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6191F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728A92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DEF59B8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48745DFF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6BEC5E58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Is the internal play environment free from unnecessary noise?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5EC4B9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1D5A0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2141E9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8E5F1A7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4EEDF9F8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3346E0AC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 xml:space="preserve">Are there sufficient general resources for children of all ages and abilities? 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125E294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572152A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A2DE7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73CB4B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6334EE2E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A9B73F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Are unfavourable acoustics in the play area managed to prevent noise distortion? (</w:t>
            </w:r>
            <w:r w:rsidR="0013548F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gramStart"/>
            <w:r w:rsidR="0013548F">
              <w:rPr>
                <w:rFonts w:ascii="Arial" w:hAnsi="Arial" w:cs="Arial"/>
                <w:sz w:val="22"/>
                <w:szCs w:val="22"/>
              </w:rPr>
              <w:t>example,</w:t>
            </w:r>
            <w:r w:rsidRPr="0013548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3548F">
              <w:rPr>
                <w:rFonts w:ascii="Arial" w:hAnsi="Arial" w:cs="Arial"/>
                <w:sz w:val="22"/>
                <w:szCs w:val="22"/>
              </w:rPr>
              <w:t xml:space="preserve"> introduction </w:t>
            </w:r>
            <w:proofErr w:type="gramStart"/>
            <w:r w:rsidRPr="0013548F">
              <w:rPr>
                <w:rFonts w:ascii="Arial" w:hAnsi="Arial" w:cs="Arial"/>
                <w:sz w:val="22"/>
                <w:szCs w:val="22"/>
              </w:rPr>
              <w:t>of  soft</w:t>
            </w:r>
            <w:proofErr w:type="gramEnd"/>
            <w:r w:rsidRPr="0013548F">
              <w:rPr>
                <w:rFonts w:ascii="Arial" w:hAnsi="Arial" w:cs="Arial"/>
                <w:sz w:val="22"/>
                <w:szCs w:val="22"/>
              </w:rPr>
              <w:t xml:space="preserve"> furnishings, canopies etc)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8BD8308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958A6B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901A2E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D2AC9E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642E1ADA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00A2512D" w14:textId="77777777" w:rsidR="00ED13D3" w:rsidRPr="0013548F" w:rsidRDefault="00ED13D3" w:rsidP="007E1065">
            <w:pPr>
              <w:pStyle w:val="Heading9"/>
              <w:spacing w:before="240" w:afterLines="240" w:after="576"/>
              <w:ind w:left="0"/>
              <w:rPr>
                <w:sz w:val="22"/>
                <w:szCs w:val="22"/>
              </w:rPr>
            </w:pPr>
            <w:r w:rsidRPr="0013548F">
              <w:rPr>
                <w:b w:val="0"/>
                <w:sz w:val="22"/>
                <w:szCs w:val="22"/>
              </w:rPr>
              <w:t>Are supplementary methods of communication used in the setting? (</w:t>
            </w:r>
            <w:r w:rsidR="007E1065">
              <w:rPr>
                <w:b w:val="0"/>
                <w:sz w:val="22"/>
                <w:szCs w:val="22"/>
              </w:rPr>
              <w:t>F</w:t>
            </w:r>
            <w:r w:rsidR="0013548F">
              <w:rPr>
                <w:b w:val="0"/>
                <w:sz w:val="22"/>
                <w:szCs w:val="22"/>
              </w:rPr>
              <w:t>or example,</w:t>
            </w:r>
            <w:r w:rsidRPr="0013548F">
              <w:rPr>
                <w:b w:val="0"/>
                <w:sz w:val="22"/>
                <w:szCs w:val="22"/>
              </w:rPr>
              <w:t xml:space="preserve"> signing)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E10E57D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940EAD1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A7D236C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DC4DBB8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08720C98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57C90472" w14:textId="77777777" w:rsidR="00ED13D3" w:rsidRPr="0013548F" w:rsidRDefault="00ED13D3" w:rsidP="007E1065">
            <w:pPr>
              <w:pStyle w:val="BodyTextIndent"/>
              <w:spacing w:before="240" w:afterLines="240" w:after="576"/>
              <w:ind w:left="0"/>
              <w:rPr>
                <w:bCs/>
                <w:szCs w:val="22"/>
              </w:rPr>
            </w:pPr>
            <w:r w:rsidRPr="0013548F">
              <w:rPr>
                <w:bCs/>
                <w:szCs w:val="22"/>
              </w:rPr>
              <w:t>Are pictorial symbols used to improve children’s understanding of the daily timetable? (</w:t>
            </w:r>
            <w:r w:rsidR="007E1065">
              <w:rPr>
                <w:bCs/>
                <w:szCs w:val="22"/>
              </w:rPr>
              <w:t>F</w:t>
            </w:r>
            <w:r w:rsidR="0013548F">
              <w:rPr>
                <w:bCs/>
                <w:szCs w:val="22"/>
              </w:rPr>
              <w:t>or example,</w:t>
            </w:r>
            <w:r w:rsidRPr="0013548F">
              <w:rPr>
                <w:bCs/>
                <w:szCs w:val="22"/>
              </w:rPr>
              <w:t xml:space="preserve"> picture exchange communication)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5BC6ECB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8F3325F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4E02B1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E13319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3D3" w:rsidRPr="0013548F" w14:paraId="570CB6BD" w14:textId="77777777" w:rsidTr="007E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1A59D3C6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  <w:r w:rsidRPr="0013548F">
              <w:rPr>
                <w:rFonts w:ascii="Arial" w:hAnsi="Arial" w:cs="Arial"/>
                <w:sz w:val="22"/>
                <w:szCs w:val="22"/>
              </w:rPr>
              <w:t>Are known trigger points for confl</w:t>
            </w:r>
            <w:r w:rsidR="0013548F">
              <w:rPr>
                <w:rFonts w:ascii="Arial" w:hAnsi="Arial" w:cs="Arial"/>
                <w:sz w:val="22"/>
                <w:szCs w:val="22"/>
              </w:rPr>
              <w:t>ict in the setting managed?</w:t>
            </w:r>
          </w:p>
        </w:tc>
        <w:tc>
          <w:tcPr>
            <w:tcW w:w="23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31E216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F366E6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5BF452C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CD7BA2" w14:textId="77777777" w:rsidR="00ED13D3" w:rsidRPr="0013548F" w:rsidRDefault="00ED13D3" w:rsidP="0013548F">
            <w:pPr>
              <w:spacing w:before="240" w:afterLines="240" w:after="5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065" w:rsidRPr="0013548F" w14:paraId="4B073006" w14:textId="77777777" w:rsidTr="0076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</w:tcPr>
          <w:p w14:paraId="1DCB560A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Name of behaviour coordinator person completing the audit:</w:t>
            </w:r>
          </w:p>
        </w:tc>
        <w:tc>
          <w:tcPr>
            <w:tcW w:w="1461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CB08E42" w14:textId="77777777" w:rsidR="007E1065" w:rsidRPr="0013548F" w:rsidRDefault="007E106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3C4E3E89" w14:textId="77777777" w:rsidR="007E1065" w:rsidRPr="007E1065" w:rsidRDefault="007E106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106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59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0C1EF54" w14:textId="77777777" w:rsidR="007E1065" w:rsidRPr="0013548F" w:rsidRDefault="007E106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A55" w:rsidRPr="0013548F" w14:paraId="029D2EAC" w14:textId="77777777" w:rsidTr="0076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</w:tcPr>
          <w:p w14:paraId="6DCA2D18" w14:textId="77777777" w:rsidR="00763A55" w:rsidRPr="007E1065" w:rsidRDefault="00763A55" w:rsidP="00763A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3A55">
              <w:rPr>
                <w:rFonts w:ascii="Arial" w:hAnsi="Arial" w:cs="Arial"/>
                <w:b/>
                <w:sz w:val="22"/>
                <w:szCs w:val="22"/>
              </w:rPr>
              <w:t>Name and signature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manager overseeing the audit:</w:t>
            </w:r>
          </w:p>
        </w:tc>
        <w:tc>
          <w:tcPr>
            <w:tcW w:w="1461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030E689" w14:textId="77777777" w:rsidR="00763A55" w:rsidRPr="0013548F" w:rsidRDefault="00763A5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6F08D023" w14:textId="77777777" w:rsidR="00763A55" w:rsidRPr="007E1065" w:rsidRDefault="00763A5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3A5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959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025BBAA" w14:textId="77777777" w:rsidR="00763A55" w:rsidRPr="0013548F" w:rsidRDefault="00763A5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A55" w:rsidRPr="0013548F" w14:paraId="67086FF8" w14:textId="77777777" w:rsidTr="0076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</w:tcPr>
          <w:p w14:paraId="63141BA7" w14:textId="77777777" w:rsidR="00763A55" w:rsidRPr="00763A55" w:rsidRDefault="00763A55" w:rsidP="00763A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1461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75C517" w14:textId="77777777" w:rsidR="00763A55" w:rsidRPr="0013548F" w:rsidRDefault="00763A5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6216D1A7" w14:textId="77777777" w:rsidR="00763A55" w:rsidRPr="00763A55" w:rsidRDefault="00763A55" w:rsidP="007E10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14:paraId="2075ECC1" w14:textId="77777777" w:rsidR="00763A55" w:rsidRPr="0013548F" w:rsidRDefault="00763A55" w:rsidP="007E10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C5E5A" w14:textId="77777777" w:rsidR="00E302CB" w:rsidRPr="0013548F" w:rsidRDefault="00E302CB" w:rsidP="00763A55">
      <w:pPr>
        <w:tabs>
          <w:tab w:val="left" w:pos="7300"/>
        </w:tabs>
        <w:spacing w:before="240" w:afterLines="240" w:after="576"/>
        <w:rPr>
          <w:rFonts w:ascii="Arial" w:hAnsi="Arial" w:cs="Arial"/>
          <w:b/>
          <w:sz w:val="22"/>
          <w:szCs w:val="22"/>
        </w:rPr>
      </w:pPr>
    </w:p>
    <w:sectPr w:rsidR="00E302CB" w:rsidRPr="0013548F" w:rsidSect="00363650">
      <w:footerReference w:type="even" r:id="rId12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B3E0" w14:textId="77777777" w:rsidR="00AF3ED5" w:rsidRDefault="00AF3ED5">
      <w:r>
        <w:separator/>
      </w:r>
    </w:p>
  </w:endnote>
  <w:endnote w:type="continuationSeparator" w:id="0">
    <w:p w14:paraId="4E133F9A" w14:textId="77777777" w:rsidR="00AF3ED5" w:rsidRDefault="00AF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0559" w14:textId="77777777" w:rsidR="00A90C4F" w:rsidRDefault="00A90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FFB9F" w14:textId="77777777" w:rsidR="00A90C4F" w:rsidRDefault="00A90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73B1" w14:textId="77777777" w:rsidR="00AF3ED5" w:rsidRDefault="00AF3ED5">
      <w:r>
        <w:separator/>
      </w:r>
    </w:p>
  </w:footnote>
  <w:footnote w:type="continuationSeparator" w:id="0">
    <w:p w14:paraId="0C45AA58" w14:textId="77777777" w:rsidR="00AF3ED5" w:rsidRDefault="00AF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abstractNum w:abstractNumId="0" w15:restartNumberingAfterBreak="0">
    <w:nsid w:val="054600B7"/>
    <w:multiLevelType w:val="hybridMultilevel"/>
    <w:tmpl w:val="3CE8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A88"/>
    <w:multiLevelType w:val="hybridMultilevel"/>
    <w:tmpl w:val="AF50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8DD"/>
    <w:multiLevelType w:val="hybridMultilevel"/>
    <w:tmpl w:val="C02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BD0"/>
    <w:multiLevelType w:val="hybridMultilevel"/>
    <w:tmpl w:val="C64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974"/>
    <w:multiLevelType w:val="multilevel"/>
    <w:tmpl w:val="6C2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3463"/>
    <w:multiLevelType w:val="multilevel"/>
    <w:tmpl w:val="F1C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44D33"/>
    <w:multiLevelType w:val="multilevel"/>
    <w:tmpl w:val="BDA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45C0D"/>
    <w:multiLevelType w:val="hybridMultilevel"/>
    <w:tmpl w:val="5348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4C60"/>
    <w:multiLevelType w:val="hybridMultilevel"/>
    <w:tmpl w:val="AC00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627B"/>
    <w:multiLevelType w:val="multilevel"/>
    <w:tmpl w:val="957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03F12"/>
    <w:multiLevelType w:val="multilevel"/>
    <w:tmpl w:val="9AE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12E67"/>
    <w:multiLevelType w:val="hybridMultilevel"/>
    <w:tmpl w:val="3C6C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6F87"/>
    <w:multiLevelType w:val="hybridMultilevel"/>
    <w:tmpl w:val="D3C6113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4767"/>
    <w:multiLevelType w:val="hybridMultilevel"/>
    <w:tmpl w:val="0C4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433D"/>
    <w:multiLevelType w:val="multilevel"/>
    <w:tmpl w:val="9DF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D07E9"/>
    <w:multiLevelType w:val="hybridMultilevel"/>
    <w:tmpl w:val="5F0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68BB"/>
    <w:multiLevelType w:val="hybridMultilevel"/>
    <w:tmpl w:val="2850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5E4AC2"/>
    <w:multiLevelType w:val="multilevel"/>
    <w:tmpl w:val="5B6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029A8"/>
    <w:multiLevelType w:val="hybridMultilevel"/>
    <w:tmpl w:val="B4E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5FCF"/>
    <w:multiLevelType w:val="hybridMultilevel"/>
    <w:tmpl w:val="C0AE86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0A1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B26FB"/>
    <w:multiLevelType w:val="hybridMultilevel"/>
    <w:tmpl w:val="458A1B6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DBE5629"/>
    <w:multiLevelType w:val="hybridMultilevel"/>
    <w:tmpl w:val="4AF62E68"/>
    <w:lvl w:ilvl="0" w:tplc="04090007">
      <w:start w:val="1"/>
      <w:numFmt w:val="bullet"/>
      <w:lvlText w:val="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3F893C1F"/>
    <w:multiLevelType w:val="multilevel"/>
    <w:tmpl w:val="685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23F80"/>
    <w:multiLevelType w:val="multilevel"/>
    <w:tmpl w:val="998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459"/>
    <w:multiLevelType w:val="multilevel"/>
    <w:tmpl w:val="D95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14C39"/>
    <w:multiLevelType w:val="hybridMultilevel"/>
    <w:tmpl w:val="877E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F7FCA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97DCB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03606"/>
    <w:multiLevelType w:val="hybridMultilevel"/>
    <w:tmpl w:val="B246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218C7"/>
    <w:multiLevelType w:val="hybridMultilevel"/>
    <w:tmpl w:val="849AA0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64BAB"/>
    <w:multiLevelType w:val="multilevel"/>
    <w:tmpl w:val="435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527D7C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5B2633"/>
    <w:multiLevelType w:val="hybridMultilevel"/>
    <w:tmpl w:val="565A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76BE"/>
    <w:multiLevelType w:val="multilevel"/>
    <w:tmpl w:val="756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D5537"/>
    <w:multiLevelType w:val="multilevel"/>
    <w:tmpl w:val="DA885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1E64D7"/>
    <w:multiLevelType w:val="multilevel"/>
    <w:tmpl w:val="B42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2341B3"/>
    <w:multiLevelType w:val="multilevel"/>
    <w:tmpl w:val="422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6628E2"/>
    <w:multiLevelType w:val="hybridMultilevel"/>
    <w:tmpl w:val="4E6CEE9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30C3"/>
    <w:multiLevelType w:val="hybridMultilevel"/>
    <w:tmpl w:val="C316CB04"/>
    <w:lvl w:ilvl="0" w:tplc="F5F41376">
      <w:numFmt w:val="bullet"/>
      <w:lvlText w:val=""/>
      <w:lvlJc w:val="left"/>
      <w:pPr>
        <w:ind w:left="390" w:hanging="39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E0389"/>
    <w:multiLevelType w:val="hybridMultilevel"/>
    <w:tmpl w:val="A220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7023F5"/>
    <w:multiLevelType w:val="multilevel"/>
    <w:tmpl w:val="4F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4159AB"/>
    <w:multiLevelType w:val="multilevel"/>
    <w:tmpl w:val="6C2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0E7AA5"/>
    <w:multiLevelType w:val="hybridMultilevel"/>
    <w:tmpl w:val="ABAE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634D4"/>
    <w:multiLevelType w:val="hybridMultilevel"/>
    <w:tmpl w:val="DDAA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305A4"/>
    <w:multiLevelType w:val="hybridMultilevel"/>
    <w:tmpl w:val="18B2DB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63F1D"/>
    <w:multiLevelType w:val="hybridMultilevel"/>
    <w:tmpl w:val="FFB8D9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94D3B"/>
    <w:multiLevelType w:val="hybridMultilevel"/>
    <w:tmpl w:val="100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5FB"/>
    <w:multiLevelType w:val="hybridMultilevel"/>
    <w:tmpl w:val="C5E2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56A21"/>
    <w:multiLevelType w:val="hybridMultilevel"/>
    <w:tmpl w:val="6E1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21B27"/>
    <w:multiLevelType w:val="hybridMultilevel"/>
    <w:tmpl w:val="A98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0B6C0C"/>
    <w:multiLevelType w:val="hybridMultilevel"/>
    <w:tmpl w:val="B286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33AB2"/>
    <w:multiLevelType w:val="hybridMultilevel"/>
    <w:tmpl w:val="E802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39"/>
  </w:num>
  <w:num w:numId="4">
    <w:abstractNumId w:val="15"/>
  </w:num>
  <w:num w:numId="5">
    <w:abstractNumId w:val="19"/>
  </w:num>
  <w:num w:numId="6">
    <w:abstractNumId w:val="2"/>
  </w:num>
  <w:num w:numId="7">
    <w:abstractNumId w:val="50"/>
  </w:num>
  <w:num w:numId="8">
    <w:abstractNumId w:val="29"/>
  </w:num>
  <w:num w:numId="9">
    <w:abstractNumId w:val="23"/>
  </w:num>
  <w:num w:numId="10">
    <w:abstractNumId w:val="45"/>
  </w:num>
  <w:num w:numId="11">
    <w:abstractNumId w:val="42"/>
  </w:num>
  <w:num w:numId="12">
    <w:abstractNumId w:val="38"/>
  </w:num>
  <w:num w:numId="13">
    <w:abstractNumId w:val="4"/>
  </w:num>
  <w:num w:numId="14">
    <w:abstractNumId w:val="11"/>
  </w:num>
  <w:num w:numId="15">
    <w:abstractNumId w:val="7"/>
  </w:num>
  <w:num w:numId="16">
    <w:abstractNumId w:val="26"/>
  </w:num>
  <w:num w:numId="17">
    <w:abstractNumId w:val="1"/>
  </w:num>
  <w:num w:numId="18">
    <w:abstractNumId w:val="43"/>
  </w:num>
  <w:num w:numId="19">
    <w:abstractNumId w:val="52"/>
  </w:num>
  <w:num w:numId="20">
    <w:abstractNumId w:val="0"/>
  </w:num>
  <w:num w:numId="21">
    <w:abstractNumId w:val="5"/>
  </w:num>
  <w:num w:numId="22">
    <w:abstractNumId w:val="14"/>
  </w:num>
  <w:num w:numId="23">
    <w:abstractNumId w:val="47"/>
  </w:num>
  <w:num w:numId="24">
    <w:abstractNumId w:val="18"/>
  </w:num>
  <w:num w:numId="25">
    <w:abstractNumId w:val="49"/>
  </w:num>
  <w:num w:numId="26">
    <w:abstractNumId w:val="37"/>
  </w:num>
  <w:num w:numId="27">
    <w:abstractNumId w:val="9"/>
  </w:num>
  <w:num w:numId="28">
    <w:abstractNumId w:val="25"/>
  </w:num>
  <w:num w:numId="29">
    <w:abstractNumId w:val="34"/>
  </w:num>
  <w:num w:numId="30">
    <w:abstractNumId w:val="6"/>
  </w:num>
  <w:num w:numId="31">
    <w:abstractNumId w:val="31"/>
  </w:num>
  <w:num w:numId="32">
    <w:abstractNumId w:val="35"/>
  </w:num>
  <w:num w:numId="33">
    <w:abstractNumId w:val="10"/>
  </w:num>
  <w:num w:numId="34">
    <w:abstractNumId w:val="17"/>
  </w:num>
  <w:num w:numId="35">
    <w:abstractNumId w:val="36"/>
  </w:num>
  <w:num w:numId="36">
    <w:abstractNumId w:val="24"/>
  </w:num>
  <w:num w:numId="37">
    <w:abstractNumId w:val="41"/>
  </w:num>
  <w:num w:numId="38">
    <w:abstractNumId w:val="16"/>
  </w:num>
  <w:num w:numId="39">
    <w:abstractNumId w:val="28"/>
  </w:num>
  <w:num w:numId="40">
    <w:abstractNumId w:val="27"/>
  </w:num>
  <w:num w:numId="41">
    <w:abstractNumId w:val="20"/>
  </w:num>
  <w:num w:numId="42">
    <w:abstractNumId w:val="32"/>
  </w:num>
  <w:num w:numId="43">
    <w:abstractNumId w:val="40"/>
  </w:num>
  <w:num w:numId="44">
    <w:abstractNumId w:val="13"/>
  </w:num>
  <w:num w:numId="45">
    <w:abstractNumId w:val="44"/>
  </w:num>
  <w:num w:numId="46">
    <w:abstractNumId w:val="3"/>
  </w:num>
  <w:num w:numId="47">
    <w:abstractNumId w:val="48"/>
  </w:num>
  <w:num w:numId="48">
    <w:abstractNumId w:val="33"/>
  </w:num>
  <w:num w:numId="49">
    <w:abstractNumId w:val="51"/>
  </w:num>
  <w:num w:numId="50">
    <w:abstractNumId w:val="8"/>
  </w:num>
  <w:num w:numId="51">
    <w:abstractNumId w:val="21"/>
  </w:num>
  <w:num w:numId="52">
    <w:abstractNumId w:val="30"/>
  </w:num>
  <w:num w:numId="53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A2E"/>
    <w:rsid w:val="00002DA4"/>
    <w:rsid w:val="000058DA"/>
    <w:rsid w:val="000111CB"/>
    <w:rsid w:val="000214BA"/>
    <w:rsid w:val="00043D4B"/>
    <w:rsid w:val="0006451E"/>
    <w:rsid w:val="000754E9"/>
    <w:rsid w:val="00093E61"/>
    <w:rsid w:val="00094F04"/>
    <w:rsid w:val="00097D4F"/>
    <w:rsid w:val="000A04FC"/>
    <w:rsid w:val="000A19FA"/>
    <w:rsid w:val="000B596C"/>
    <w:rsid w:val="000D3FB8"/>
    <w:rsid w:val="000E055D"/>
    <w:rsid w:val="000E53A8"/>
    <w:rsid w:val="000F5B6F"/>
    <w:rsid w:val="00105676"/>
    <w:rsid w:val="00130C8B"/>
    <w:rsid w:val="00134516"/>
    <w:rsid w:val="0013548F"/>
    <w:rsid w:val="0016626D"/>
    <w:rsid w:val="001734C0"/>
    <w:rsid w:val="001844AB"/>
    <w:rsid w:val="001853EA"/>
    <w:rsid w:val="00193035"/>
    <w:rsid w:val="001A0BD5"/>
    <w:rsid w:val="001B07D9"/>
    <w:rsid w:val="001C5BA8"/>
    <w:rsid w:val="001C7103"/>
    <w:rsid w:val="001D1832"/>
    <w:rsid w:val="001F4C24"/>
    <w:rsid w:val="00211BA3"/>
    <w:rsid w:val="0021624D"/>
    <w:rsid w:val="00224D2D"/>
    <w:rsid w:val="00226C1A"/>
    <w:rsid w:val="00232B5A"/>
    <w:rsid w:val="00234FE7"/>
    <w:rsid w:val="00237BCA"/>
    <w:rsid w:val="002421E4"/>
    <w:rsid w:val="00245334"/>
    <w:rsid w:val="00245757"/>
    <w:rsid w:val="002470F2"/>
    <w:rsid w:val="00254A34"/>
    <w:rsid w:val="002717F4"/>
    <w:rsid w:val="00286A44"/>
    <w:rsid w:val="002A01A3"/>
    <w:rsid w:val="002B5310"/>
    <w:rsid w:val="002B588B"/>
    <w:rsid w:val="002C1EF0"/>
    <w:rsid w:val="002D3057"/>
    <w:rsid w:val="00303F82"/>
    <w:rsid w:val="00306944"/>
    <w:rsid w:val="0032164F"/>
    <w:rsid w:val="00337DD4"/>
    <w:rsid w:val="00350800"/>
    <w:rsid w:val="00355E24"/>
    <w:rsid w:val="003566C2"/>
    <w:rsid w:val="00362EBC"/>
    <w:rsid w:val="00363650"/>
    <w:rsid w:val="003A1330"/>
    <w:rsid w:val="003B67A3"/>
    <w:rsid w:val="003E4DAE"/>
    <w:rsid w:val="003E5981"/>
    <w:rsid w:val="004045ED"/>
    <w:rsid w:val="004247B8"/>
    <w:rsid w:val="0042630B"/>
    <w:rsid w:val="00457AF1"/>
    <w:rsid w:val="00462A41"/>
    <w:rsid w:val="00462FB7"/>
    <w:rsid w:val="0048629C"/>
    <w:rsid w:val="004A18CA"/>
    <w:rsid w:val="004A569D"/>
    <w:rsid w:val="004A6452"/>
    <w:rsid w:val="004E17B7"/>
    <w:rsid w:val="00501E44"/>
    <w:rsid w:val="005130D9"/>
    <w:rsid w:val="00517B0F"/>
    <w:rsid w:val="00531078"/>
    <w:rsid w:val="00532AF2"/>
    <w:rsid w:val="005420BB"/>
    <w:rsid w:val="00552223"/>
    <w:rsid w:val="005642FB"/>
    <w:rsid w:val="0057480B"/>
    <w:rsid w:val="005A3A9F"/>
    <w:rsid w:val="005A71A8"/>
    <w:rsid w:val="005C0FFA"/>
    <w:rsid w:val="005E3923"/>
    <w:rsid w:val="005F2731"/>
    <w:rsid w:val="005F3225"/>
    <w:rsid w:val="00600782"/>
    <w:rsid w:val="00623A55"/>
    <w:rsid w:val="006332A0"/>
    <w:rsid w:val="00671434"/>
    <w:rsid w:val="006800EF"/>
    <w:rsid w:val="006C4D58"/>
    <w:rsid w:val="006C5177"/>
    <w:rsid w:val="006F0AD9"/>
    <w:rsid w:val="006F1239"/>
    <w:rsid w:val="006F12BE"/>
    <w:rsid w:val="00701464"/>
    <w:rsid w:val="00704C2E"/>
    <w:rsid w:val="0071222C"/>
    <w:rsid w:val="00722F5E"/>
    <w:rsid w:val="007234E2"/>
    <w:rsid w:val="0072623C"/>
    <w:rsid w:val="00753CA2"/>
    <w:rsid w:val="007576AC"/>
    <w:rsid w:val="00763A55"/>
    <w:rsid w:val="00790B61"/>
    <w:rsid w:val="007A6424"/>
    <w:rsid w:val="007A6931"/>
    <w:rsid w:val="007C00AF"/>
    <w:rsid w:val="007C3A6D"/>
    <w:rsid w:val="007D1A6B"/>
    <w:rsid w:val="007E1065"/>
    <w:rsid w:val="007F0FBE"/>
    <w:rsid w:val="007F3DD5"/>
    <w:rsid w:val="00802CAF"/>
    <w:rsid w:val="008204D0"/>
    <w:rsid w:val="008233D2"/>
    <w:rsid w:val="00833061"/>
    <w:rsid w:val="00851730"/>
    <w:rsid w:val="00857F9F"/>
    <w:rsid w:val="00867306"/>
    <w:rsid w:val="00886BE6"/>
    <w:rsid w:val="00891533"/>
    <w:rsid w:val="008A4F4B"/>
    <w:rsid w:val="008A6C04"/>
    <w:rsid w:val="008D30FC"/>
    <w:rsid w:val="008D35F4"/>
    <w:rsid w:val="009079DC"/>
    <w:rsid w:val="00914F1E"/>
    <w:rsid w:val="009160EB"/>
    <w:rsid w:val="00916F94"/>
    <w:rsid w:val="00927931"/>
    <w:rsid w:val="009353FD"/>
    <w:rsid w:val="0094461B"/>
    <w:rsid w:val="00954B8A"/>
    <w:rsid w:val="00961A22"/>
    <w:rsid w:val="00964E88"/>
    <w:rsid w:val="00992756"/>
    <w:rsid w:val="009A4CC6"/>
    <w:rsid w:val="009A5A87"/>
    <w:rsid w:val="009B46EB"/>
    <w:rsid w:val="009E6A11"/>
    <w:rsid w:val="009F0DE6"/>
    <w:rsid w:val="00A01119"/>
    <w:rsid w:val="00A13336"/>
    <w:rsid w:val="00A53FCB"/>
    <w:rsid w:val="00A7508E"/>
    <w:rsid w:val="00A75972"/>
    <w:rsid w:val="00A90C4F"/>
    <w:rsid w:val="00AC0C91"/>
    <w:rsid w:val="00AE699B"/>
    <w:rsid w:val="00AF3ED5"/>
    <w:rsid w:val="00B0282A"/>
    <w:rsid w:val="00B02E18"/>
    <w:rsid w:val="00B322D4"/>
    <w:rsid w:val="00B64551"/>
    <w:rsid w:val="00B74E5E"/>
    <w:rsid w:val="00B92D3C"/>
    <w:rsid w:val="00B937ED"/>
    <w:rsid w:val="00BA147B"/>
    <w:rsid w:val="00BB0A2E"/>
    <w:rsid w:val="00BB688A"/>
    <w:rsid w:val="00BC4AA0"/>
    <w:rsid w:val="00BC6BFA"/>
    <w:rsid w:val="00BF6D1F"/>
    <w:rsid w:val="00C0293C"/>
    <w:rsid w:val="00C13069"/>
    <w:rsid w:val="00C167D5"/>
    <w:rsid w:val="00C2181D"/>
    <w:rsid w:val="00C24229"/>
    <w:rsid w:val="00C54AA8"/>
    <w:rsid w:val="00C57C9A"/>
    <w:rsid w:val="00C63F0F"/>
    <w:rsid w:val="00C64414"/>
    <w:rsid w:val="00C74D6B"/>
    <w:rsid w:val="00C7512A"/>
    <w:rsid w:val="00C76BD9"/>
    <w:rsid w:val="00C9368E"/>
    <w:rsid w:val="00CA15F0"/>
    <w:rsid w:val="00CA3EBF"/>
    <w:rsid w:val="00CB50DE"/>
    <w:rsid w:val="00CB654A"/>
    <w:rsid w:val="00CD40A4"/>
    <w:rsid w:val="00CD6E0D"/>
    <w:rsid w:val="00CF3FC6"/>
    <w:rsid w:val="00CF54F6"/>
    <w:rsid w:val="00D00B39"/>
    <w:rsid w:val="00D076F8"/>
    <w:rsid w:val="00D1302C"/>
    <w:rsid w:val="00D30ECA"/>
    <w:rsid w:val="00D443DD"/>
    <w:rsid w:val="00D44698"/>
    <w:rsid w:val="00D50BB9"/>
    <w:rsid w:val="00D67E59"/>
    <w:rsid w:val="00D71D3D"/>
    <w:rsid w:val="00DB7D96"/>
    <w:rsid w:val="00DC34B3"/>
    <w:rsid w:val="00DC49CD"/>
    <w:rsid w:val="00DD12DF"/>
    <w:rsid w:val="00DD14A3"/>
    <w:rsid w:val="00E302CB"/>
    <w:rsid w:val="00E43607"/>
    <w:rsid w:val="00E4695E"/>
    <w:rsid w:val="00E662C3"/>
    <w:rsid w:val="00E80263"/>
    <w:rsid w:val="00E842E9"/>
    <w:rsid w:val="00EA0882"/>
    <w:rsid w:val="00EC7626"/>
    <w:rsid w:val="00ED13D3"/>
    <w:rsid w:val="00EF1A00"/>
    <w:rsid w:val="00EF1CFB"/>
    <w:rsid w:val="00EF646F"/>
    <w:rsid w:val="00F2315B"/>
    <w:rsid w:val="00F41A61"/>
    <w:rsid w:val="00F445A8"/>
    <w:rsid w:val="00F54306"/>
    <w:rsid w:val="00F60E0D"/>
    <w:rsid w:val="00F65BD2"/>
    <w:rsid w:val="00F66026"/>
    <w:rsid w:val="00F6689D"/>
    <w:rsid w:val="00F70A3B"/>
    <w:rsid w:val="00F9380C"/>
    <w:rsid w:val="00F959FE"/>
    <w:rsid w:val="00FA39EB"/>
    <w:rsid w:val="00FB303E"/>
    <w:rsid w:val="00FC2661"/>
    <w:rsid w:val="00FC7561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0FB651"/>
  <w15:chartTrackingRefBased/>
  <w15:docId w15:val="{6AFC956E-9FED-4C32-9CF4-23E2DA6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-360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3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rPr>
      <w:rFonts w:ascii="Arial" w:hAnsi="Arial" w:cs="Arial"/>
      <w:i/>
      <w:iCs/>
      <w:sz w:val="22"/>
    </w:rPr>
  </w:style>
  <w:style w:type="paragraph" w:styleId="BodyText3">
    <w:name w:val="Body Text 3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52"/>
    </w:rPr>
  </w:style>
  <w:style w:type="paragraph" w:styleId="Caption">
    <w:name w:val="caption"/>
    <w:basedOn w:val="Normal"/>
    <w:next w:val="Normal"/>
    <w:qFormat/>
    <w:pPr>
      <w:framePr w:w="6820" w:h="1729" w:hSpace="180" w:wrap="around" w:vAnchor="text" w:hAnchor="page" w:x="2662" w:y="-1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i/>
      <w:sz w:val="22"/>
      <w:szCs w:val="20"/>
      <w:lang w:val="en-US"/>
    </w:rPr>
  </w:style>
  <w:style w:type="paragraph" w:styleId="BodyTextIndent2">
    <w:name w:val="Body Text Indent 2"/>
    <w:basedOn w:val="Normal"/>
    <w:semiHidden/>
    <w:pPr>
      <w:ind w:left="65"/>
    </w:pPr>
    <w:rPr>
      <w:rFonts w:ascii="Arial" w:hAnsi="Arial" w:cs="Arial"/>
      <w:sz w:val="22"/>
    </w:rPr>
  </w:style>
  <w:style w:type="character" w:customStyle="1" w:styleId="u1">
    <w:name w:val="u1"/>
    <w:rPr>
      <w:color w:val="0099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130D9"/>
    <w:pPr>
      <w:ind w:left="720"/>
    </w:pPr>
    <w:rPr>
      <w:rFonts w:eastAsia="Calibri"/>
      <w:lang w:eastAsia="en-GB"/>
    </w:rPr>
  </w:style>
  <w:style w:type="paragraph" w:customStyle="1" w:styleId="Default">
    <w:name w:val="Default"/>
    <w:rsid w:val="00623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TMLCite">
    <w:name w:val="HTML Cite"/>
    <w:uiPriority w:val="99"/>
    <w:semiHidden/>
    <w:unhideWhenUsed/>
    <w:rsid w:val="005420BB"/>
    <w:rPr>
      <w:i/>
      <w:iCs/>
    </w:rPr>
  </w:style>
  <w:style w:type="character" w:customStyle="1" w:styleId="Heading1Char">
    <w:name w:val="Heading 1 Char"/>
    <w:link w:val="Heading1"/>
    <w:rsid w:val="005E3923"/>
    <w:rPr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5E3923"/>
    <w:rPr>
      <w:rFonts w:ascii="Arial" w:hAnsi="Arial" w:cs="Arial"/>
      <w:b/>
      <w:bCs/>
      <w:sz w:val="22"/>
      <w:szCs w:val="24"/>
      <w:lang w:val="en-GB"/>
    </w:rPr>
  </w:style>
  <w:style w:type="character" w:customStyle="1" w:styleId="BodyTextChar">
    <w:name w:val="Body Text Char"/>
    <w:link w:val="BodyText"/>
    <w:semiHidden/>
    <w:rsid w:val="005E3923"/>
    <w:rPr>
      <w:rFonts w:ascii="Arial" w:hAnsi="Arial" w:cs="Arial"/>
      <w:b/>
      <w:bCs/>
      <w:sz w:val="22"/>
      <w:szCs w:val="24"/>
      <w:lang w:val="en-GB"/>
    </w:rPr>
  </w:style>
  <w:style w:type="paragraph" w:customStyle="1" w:styleId="introtext2">
    <w:name w:val="introtext2"/>
    <w:basedOn w:val="Normal"/>
    <w:rsid w:val="005E3923"/>
    <w:rPr>
      <w:sz w:val="29"/>
      <w:szCs w:val="29"/>
      <w:lang w:val="en-US"/>
    </w:rPr>
  </w:style>
  <w:style w:type="character" w:customStyle="1" w:styleId="tooltip1">
    <w:name w:val="tooltip1"/>
    <w:basedOn w:val="DefaultParagraphFont"/>
    <w:rsid w:val="007D1A6B"/>
  </w:style>
  <w:style w:type="paragraph" w:customStyle="1" w:styleId="DoubleIndent">
    <w:name w:val="Double Indent"/>
    <w:basedOn w:val="Default"/>
    <w:next w:val="Default"/>
    <w:uiPriority w:val="99"/>
    <w:rsid w:val="009F0DE6"/>
    <w:rPr>
      <w:rFonts w:ascii="Times New Roman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9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596C"/>
    <w:rPr>
      <w:lang w:val="en-GB"/>
    </w:rPr>
  </w:style>
  <w:style w:type="character" w:styleId="FootnoteReference">
    <w:name w:val="footnote reference"/>
    <w:uiPriority w:val="99"/>
    <w:semiHidden/>
    <w:unhideWhenUsed/>
    <w:rsid w:val="000B596C"/>
    <w:rPr>
      <w:vertAlign w:val="superscript"/>
    </w:rPr>
  </w:style>
  <w:style w:type="character" w:customStyle="1" w:styleId="FooterChar">
    <w:name w:val="Footer Char"/>
    <w:link w:val="Footer"/>
    <w:uiPriority w:val="99"/>
    <w:rsid w:val="009A4C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327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461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352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928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2918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166">
                          <w:marLeft w:val="4000"/>
                          <w:marRight w:val="-1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6893">
                                  <w:marLeft w:val="0"/>
                                  <w:marRight w:val="0"/>
                                  <w:marTop w:val="160"/>
                                  <w:marBottom w:val="288"/>
                                  <w:divBdr>
                                    <w:top w:val="single" w:sz="8" w:space="12" w:color="DDDDDD"/>
                                    <w:left w:val="single" w:sz="8" w:space="12" w:color="DDDDDD"/>
                                    <w:bottom w:val="single" w:sz="8" w:space="12" w:color="DDDDDD"/>
                                    <w:right w:val="single" w:sz="8" w:space="12" w:color="DDDDDD"/>
                                  </w:divBdr>
                                  <w:divsChild>
                                    <w:div w:id="352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780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08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77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946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224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0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737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945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332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933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3920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CF206-36CD-48BE-BB48-86A81A23E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17EB5-8DB2-45BE-879B-B578733D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32CDC-6794-439C-89CD-C17F4F511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3E7B7-3D7A-42F1-B1E9-C14BDCC83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EDUCATIONAL NEEDS AND DISABILITIES</vt:lpstr>
    </vt:vector>
  </TitlesOfParts>
  <Company>pre-school learning alliance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EDUCATIONAL NEEDS AND DISABILITIES</dc:title>
  <dc:subject/>
  <dc:creator>Nicky</dc:creator>
  <cp:keywords/>
  <cp:lastModifiedBy>Bollington Preschool</cp:lastModifiedBy>
  <cp:revision>2</cp:revision>
  <cp:lastPrinted>2013-02-11T16:06:00Z</cp:lastPrinted>
  <dcterms:created xsi:type="dcterms:W3CDTF">2020-11-18T11:59:00Z</dcterms:created>
  <dcterms:modified xsi:type="dcterms:W3CDTF">2020-11-18T11:59:00Z</dcterms:modified>
</cp:coreProperties>
</file>